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CNS Pharmaceuticals organizará una jornada virtual para analistas e inversores el 11 de diciembre de 2024</w:t></w:r></w:p><w:p><w:pPr><w:pStyle w:val="Ttulo2"/><w:rPr><w:color w:val="355269"/></w:rPr></w:pPr><w:r><w:rPr><w:color w:val="355269"/></w:rPr><w:t>El evento será en directo y en formato online y diversos líderes de opinión de renombre internacional debatirán sobre el glioblastoma multiforme (GBM). La empresa está comprometida con investigar el tipo más agresivo de cáncer cerebral, que tiene una supervivencia media de entre 14 y 16 meses tras el diagnóstico y sin cura</w:t></w:r></w:p><w:p><w:pPr><w:pStyle w:val="LOnormal"/><w:rPr><w:color w:val="355269"/></w:rPr></w:pPr><w:r><w:rPr><w:color w:val="355269"/></w:rPr></w:r></w:p><w:p><w:pPr><w:pStyle w:val="LOnormal"/><w:jc w:val="left"/><w:rPr></w:rPr></w:pPr><w:r><w:rPr></w:rPr><w:t>CNS Pharmaceuticals, Inc., empresa biofarmacéutica especializada en el desarrollo de tratamientos novedosos para cánceres primarios y metastásicos del cerebro y del sistema nervioso central, ha anunciado hoy que celebrará un Día Virtual del Analista y del Inversor el miércoles 11 de diciembre de 11:30 a 13:00 ET.</w:t><w:br/><w:t></w:t><w:br/><w:t>Para el evento, John Climaco, director ejecutivo, Sandra Silberman, MD, PhD, directora médica y Zena Muzyczenko, vicepresidenta de Operaciones Clínicas de CNS Pharmaceuticals estarán acompañados por líderes de opinión clave (Key Opinion Leaders): Michael Weller, Prof. Dr. med. director del Departamento de Neurología, Universitatsspital, Zúrich, Suiza; Samuel Goldlust, MD, neurooncólogo certificado y becario de Saint Luke&39;s Cancer Specialists; y Erin Dunbar, MD, médico fundador del Centro de Tumores Cerebrales y directora de Neurooncología del Piedmont Atlanta Hospital.</w:t><w:br/><w:t></w:t><w:br/><w:t>Como parte del evento, los miembros del equipo directivo de CNS Pharmaceuticals y los Key Opinion Leaders (KOL) participantes hablarán sobre el GBM y proporcionarán una visión general de la Berubicina y los próximos pasos para el programa de desarrollo clínico. Además, los participantes debatirán sobre el segundo activo de la empresa, TPI 287, y su estrategia de desarrollo y reglamentación de cara al futuro.</w:t><w:br/><w:t></w:t><w:br/><w:t>En la página de eventos de la sección de inversores del sitio web de la empresa (cnspharma.com) podrá verse una retransmisión en directo. Dos horas después de la presentación en directo se podrá acceder a la repetición de la retransmisión por Internet durante 90 días.</w:t><w:br/><w:t></w:t><w:br/><w:t>Sobre CNS Parmaceuticals, Inc.</w:t><w:br/><w:t></w:t><w:br/><w:t>CNS Pharmaceuticals es una empresa farmacéutica en fase clínica que desarrolla una cartera de candidatos a fármacos contra el cáncer para el tratamiento de cánceres primarios y metastásicos del cerebro y el sistema nervioso central.</w:t><w:br/><w:t></w:t><w:br/><w:t>El principal candidato a fármaco de la empresa, la berubicina, es una nueva antraciclina y la primera antraciclina que parece atravesar la barrera hematoencefálica. La berubicina se está desarrollando actualmente para el tratamiento de varias indicaciones oncológicas graves del cerebro y el sistema nervioso central, incluido el glioblastoma multiforme (GBM), una forma agresiva e incurable de cáncer cerebral.</w:t><w:br/><w:t></w:t><w:br/><w:t>Es possible encontrar más información visitando www.CNSPharma.com o visitando sus perfiles en X, Facebook y LinkedIn.</w:t><w:br/><w:t></w:t><w:br/><w:t>Declaraciones prospectivas</w:t><w:br/><w:t></w:t><w:br/><w:t>Algunas de las afirmaciones contenidas en este comunicado de prensa son previsiones en el sentido de la Sección 27A de la Ley de Valores de 1933, la Sección 21E de la Ley de Intercambio de Valores de 1934 y la Ley de Reforma de Litigios sobre Valores Privados de 1995, que implican riesgos e incertidumbres. Estas declaraciones se refieren a acontecimientos futuros, expectativas futuras, planes y perspectivas. Aunque CNS cree que las expectativas reflejadas en dichas declaraciones prospectivas son razonables en la fecha en que se hicieron, las expectativas pueden resultar materialmente diferentes de los resultados expresados o implícitos en dichas declaraciones prospectivas. CNS ha intentado identificar las declaraciones prospectivas mediante términos como cree, estima, prevé, espera, planea, proyecta, pretende, potencial, puede, podría, podría, debería, aproximadamente u otras palabras que transmiten incertidumbre sobre acontecimientos o resultados futuros para identificar estas declaraciones prospectivas.</w:t><w:br/><w:t></w:t><w:br/><w:t>Estas afirmaciones son sólo predicciones e implican riesgos conocidos y desconocidos, incertidumbres y otros factores, incluidas las condiciones de mercado y de otro tipo y las que se comentan en el punto 1A. Factores de riesgo del último formulario 10-K presentado por CNS ante la Securities and Exchange Commission (SEC) y actualizados periódicamente en sus presentaciones del formulario 10-Q y en sus demás presentaciones públicas ante la SEC. Todas las afirmaciones de carácter prospectivo contenidas en el presente comunicado de prensa son válidas únicamente en la fecha de su publicación. CNS no asume obligación alguna de actualizar las declaraciones prospectivas contenidas en este comunicado de prensa para reflejar acontecimientos o circunstancias que se produzcan después de su fecha o para reflejar la aparición de acontecimientos imprevistos, salvo que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Houston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