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https://static.comunicae.com/photos/notas/1259190/10.jpg</w:t>
        </w:r>
      </w:hyperlink>
    </w:p>
    <w:p>
      <w:pPr>
        <w:pStyle w:val="Ttulo1"/>
        <w:spacing w:lineRule="auto" w:line="240" w:before="280" w:after="280"/>
        <w:rPr>
          <w:sz w:val="44"/>
          <w:szCs w:val="44"/>
        </w:rPr>
      </w:pPr>
      <w:r>
        <w:rPr>
          <w:sz w:val="44"/>
          <w:szCs w:val="44"/>
        </w:rPr>
        <w:t>Chestertons Atomiun asesora a M Automoción en la venta de una nave industrial en Alcobendas</w:t>
      </w:r>
    </w:p>
    <w:p>
      <w:pPr>
        <w:pStyle w:val="Ttulo2"/>
        <w:rPr>
          <w:color w:val="355269"/>
        </w:rPr>
      </w:pPr>
      <w:r>
        <w:rPr>
          <w:color w:val="355269"/>
        </w:rPr>
        <w:t>El polígono industrial de Alcobendas, una de las zonas industriales más demandadas por los empresarios de Madrid. Sergio Martínez Herrero consejero de Chestertons Atomiun: (La zona industrial de Alcobendas se encuentra con una actividad comercial desbordante ocupada al 100%. Es necesario calificar nuevo suelo industrial en la zona norte de Madrid)
</w:t>
      </w:r>
    </w:p>
    <w:p>
      <w:pPr>
        <w:pStyle w:val="LOnormal"/>
        <w:rPr>
          <w:color w:val="355269"/>
        </w:rPr>
      </w:pPr>
      <w:r>
        <w:rPr>
          <w:color w:val="355269"/>
        </w:rPr>
      </w:r>
    </w:p>
    <w:p>
      <w:pPr>
        <w:pStyle w:val="LOnormal"/>
        <w:jc w:val="left"/>
        <w:rPr/>
      </w:pPr>
      <w:r>
        <w:rPr/>
        <w:t>Chestertons Atomiun ha liderado con éxito el asesoramiento de la venta de una nave industrial ubicada en el polígono industrial de Alcobendas, en la calle Aragoneses, 2. La nave, con una superficie de 4,200 m² construidos sobre una parcela de 4,000 m², ha sido adquirida por M Automoción a una sociedad tenedora de activos inmobiliarios gestionada por Hipoges.</w:t>
        <w:br/>
        <w:t/>
        <w:br/>
        <w:t>Sergio Martínez Herro, consejero de Chestertons Atomiun, afirma que el nuevo propietario, M Automoción, procederá a la rehabilitación de la edificación, reforzando así la relevancia de este activo dentro del dinámico tejido industrial de Alcobendas.</w:t>
        <w:br/>
        <w:t/>
        <w:br/>
        <w:t>Esta transacción se produce en un contexto marcado por la creciente demanda de espacios industriales en la zona, donde la escasez de almacenes y la falta de suelo disponible impulsan la competencia y elevan los precios de este tipo de activos.</w:t>
        <w:br/>
        <w:t/>
        <w:br/>
        <w:t>Chestertons Atomiun reafirma su papel como actor clave en el asesoramiento de operaciones singulares, consolidando su posicionamiento como consultora inmobiliaria de referencia en Madrid. La firma continúa ofreciendo soluciones de alto valor añadido para empresas e inversores que buscan optimizar sus estrategias en un entorno inmobiliario competitivo y en constante evolución.</w:t>
        <w:br/>
        <w:t/>
        <w:br/>
        <w:t>Sobre Hipoges</w:t>
        <w:br/>
        <w:t/>
        <w:br/>
        <w:t>Empresa líder en la gestión de activos en la península ibérica, con más de 49.000 millones de euros en activos bajo gestión. Fundada en 2008 y con sede en Madrid. Ha expandido su presencia a Portugal, Grecia e Italia, contando con más de 1800 empleados y 25 nacionalidades diferentes. La compañía ofrece una amplia gama de servicios relacionados con la gestión activos.</w:t>
        <w:br/>
        <w:t/>
        <w:br/>
        <w:t>Sobre M Automoción</w:t>
        <w:br/>
        <w:t/>
        <w:br/>
        <w:t>Empresa fundada en 1962 por Claudio García García, dedicada a la venta de vehículos con más de 45 concesionarios, 37 talleres de proximidad y más de 60 años trabajando con las mejores marcas de automóviles y motocicletas.</w:t>
        <w:br/>
        <w:t/>
        <w:br/>
        <w:t>Sobre Chestertons Atomiun</w:t>
        <w:br/>
        <w:t/>
        <w:br/>
        <w:t>Inmobiliaria, especializada en la comercialización y gestión de activos, principalmente edificios residenciales, solares, naves industriales y almacenes logísticos en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