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https://static.comunicae.com/photos/notas/1257792/Georg-F.-W.-Schaeffler-with-CEO-Klaus-Rosenfeld-and-CFO-Claus-Bauer.jpg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Ações ordinárias da Schaeffler começam a ser cotadas na bolsa de Frankfurt após a conclusão da fusão com a Vitesco</w:t>
      </w:r>
    </w:p>
    <w:p>
      <w:pPr>
        <w:pStyle w:val="Ttulo2"/>
        <w:rPr>
          <w:color w:val="355269"/>
        </w:rPr>
      </w:pPr>
      <w:r>
        <w:rPr>
          <w:color w:val="355269"/>
        </w:rPr>
        <w:t>O primeiro preço das ações da Schaeffler após a fusão é de 4,50 EUR. Após a conversão das classes de ações, todos os acionistas possuem ações ordinárias com direito a voto. Pretende-se incluir as ações da Schaeffler nos índices MDAX e MSCI Europe.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Após a conclusão da integração da Vitesco Technologies Group AG (Vitesco) na Schaeffler AG (Schaeffler) a 1 de outubro de 2024, as novas ações ordinárias da Schaeffler começaram a ser cotadas na bolsa de valores de Frankfurt o dia 2 de outubro de 2024. As novas ações estão cotadas sob a abreviatura SHA, sob o ISIN DE000SHA0019 e o código da bolsa de valores alemã SHA001. Esta manhã, foi fixado um primeiro preço de 4,50 euros.</w:t>
        <w:br/>
        <w:t/>
        <w:br/>
        <w:t>Após a conclusão bem-sucedida da fusão com a Vitesco e a conversão das classes de ações em Schaeffler, a partir do dia 2, as ações ordinárias com pleno direito a voto estão cotadas na bolsa de valores. Foi suspensa a negociação das ações da Vitesco (ISIN: DE000VTSC017) e das ações preferenciais sem direito a voto da Schaeffler (ISIN: DE000SHA0159) anteriormente cotadas.</w:t>
        <w:br/>
        <w:t/>
        <w:br/>
        <w:t>As novas ações ordinárias serão negociadas no mercado regulamentado da bolsa de valores de Frankfurt, com admissão simultânea no subsegmento do mercado regulado com obrigações adicionais posteriores à admissão (Prime Standard). Uma vez concluída a transação com a Vitesco, o número das ações emitidas da Schaeffler aumenta de 666.000.000 para 944.884.641.</w:t>
        <w:br/>
        <w:t/>
        <w:br/>
        <w:t>Como parte do realinhamento previsto da estrutura acionista, as ações preferenciais sem direito a voto anteriormente cotadas foram convertidas em ações ordinárias com pleno direito a voto numa proporção de 1:1. Assim, todos os acionistas da Schaeffler, tanto os acionistas familiares como todos os demais acionistas, passam agora a ser titulares da mesma classe de ações.</w:t>
        <w:br/>
        <w:t/>
        <w:br/>
        <w:t>IHO Holding, a holding de gestão estratégica da família da Schaeffler, possui aproximadamente 79% das ações ordinárias com direito a voto da Schaeffler no início da cotação. O capital flutuante ascende aproximadamente a 21%.</w:t>
        <w:br/>
        <w:t/>
        <w:br/>
        <w:t>A empresa espera que a unificação das classes de ações permita que a ação da Schaeffler cumpra os critérios de inclusão nos índices MDAX e MSCI Europe no futuro.</w:t>
        <w:br/>
        <w:t/>
        <w:br/>
        <w:t>Klaus Rosenfeld, CEO da Schaeffler AG, disse: Após a bem-sucedida fusão com a Vitesco, começa um novo capítulo com o início da cotação das novas ações da Schaeffler, que agora incluem direito a voto. A partir de agora, na Schaeffler é um voto por ação (One Share, One Vote). Trata-se de um passo importante para aumentar ao atrativo da ação da Schaeffler para os investidores.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2024-10-07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