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https://static.comunicae.com/photos/notas/1253515/Imagen_de_recurso.jpg</w:t>
        </w:r>
      </w:hyperlink>
    </w:p>
    <w:p>
      <w:pPr>
        <w:pStyle w:val="Ttulo1"/>
        <w:spacing w:lineRule="auto" w:line="240" w:before="280" w:after="280"/>
        <w:rPr>
          <w:sz w:val="44"/>
          <w:szCs w:val="44"/>
        </w:rPr>
      </w:pPr>
      <w:r>
        <w:rPr>
          <w:sz w:val="44"/>
          <w:szCs w:val="44"/>
        </w:rPr>
        <w:t>Transformando hogares: la evolución de las reformas en España en 2024</w:t>
      </w:r>
    </w:p>
    <w:p>
      <w:pPr>
        <w:pStyle w:val="Ttulo2"/>
        <w:rPr>
          <w:color w:val="355269"/>
        </w:rPr>
      </w:pPr>
      <w:r>
        <w:rPr>
          <w:color w:val="355269"/>
        </w:rPr>
        <w:t>CENTURY 21 España, compañía de intermediación inmobiliaria de referencia en España, expone las claves para llevar a cabo una reforma integral eficiente y económica del hogar bajo la normativa vigente. Innovación y personalización se erigen como las dos características más buscadas en las reformas de los hogares españoles. Según el II Estudio de Acceso a la Vivienda llevado a cabo por la compañía en 2024, el 17% de los encuestados ha optado u optaría por comprar una vivienda con necesidad de reforma</w:t>
      </w:r>
    </w:p>
    <w:p>
      <w:pPr>
        <w:pStyle w:val="LOnormal"/>
        <w:rPr>
          <w:color w:val="355269"/>
        </w:rPr>
      </w:pPr>
      <w:r>
        <w:rPr>
          <w:color w:val="355269"/>
        </w:rPr>
      </w:r>
    </w:p>
    <w:p>
      <w:pPr>
        <w:pStyle w:val="LOnormal"/>
        <w:jc w:val="left"/>
        <w:rPr/>
      </w:pPr>
      <w:r>
        <w:rPr/>
        <w:t>En el panorama actual de la vivienda en España, el año 2024 destaca por una notable tendencia hacia la renovación y personalización de los hogares, un reflejo del deseo de los españoles por adaptar sus espacios a nuevas necesidades y gustos. Según datos recientes de la Asociación Nacional de Distribuidores de Cerámica y Materiales de Construcción (Andimac), este año se prevé la reforma de 1,8 millones de viviendas, marcando un crecimiento sutil pero significativo de un 1% en comparación con 2023.</w:t>
        <w:br/>
        <w:t/>
        <w:br/>
        <w:t>A pesar de los desafíos económicos, los españoles continúan invirtiendo en la mejora de sus hogares. El Instituto Nacional de Estadística indica que el gasto medio por vivienda en reformas y actualizaciones alcanza los 1.296€, lo que evidencia un marcado interés en incrementar la comodidad y el bienestar doméstico.</w:t>
        <w:br/>
        <w:t/>
        <w:br/>
        <w:t>De forma paralela, la plataforma digital Habitissimo señala que el coste de una reforma integral se sitúa entre 450€ y 700€ por metro cuadrado, lo que representa una inversión significativa. Este dato subraya la necesidad de una planificación y ejecución meticulosas en el proceso de reforma.</w:t>
        <w:br/>
        <w:t/>
        <w:br/>
        <w:t>Claves para una reforma integral eficiente y económica</w:t>
        <w:br/>
        <w:t/>
        <w:br/>
        <w:t>La reforma de un hogar es una aventura que, si bien está llena de ilusiones, también conlleva desafíos. La red CENTURY 21 España comparte las pautas fundamentales para asegurar que este proceso, además de cumplir con las expectativas, sea también una inversión prudente y eficaz:</w:t>
        <w:br/>
        <w:t/>
        <w:br/>
        <w:t>Planificación detallada: antes de iniciar cualquier reforma, es crucial tener una visión clara del proyecto. Definir objetivos, elaborar un presupuesto exhaustivo y establecer prioridades asegura un camino más ordenado hacia la meta.</w:t>
        <w:br/>
        <w:t/>
        <w:br/>
        <w:t>Comparación y negociación: la investigación y comparación de precios son esenciales. Igualmente, la negociación con proveedores puede resultar en ahorros significativos, sin sacrificar la calidad.</w:t>
        <w:br/>
        <w:t/>
        <w:br/>
        <w:t>Selección de profesionales: la elección de mano de obra cualificada no solo garantiza resultados óptimos sino también una mayor eficiencia y seguridad en el proceso.</w:t>
        <w:br/>
        <w:t/>
        <w:br/>
        <w:t>Reutilización de materiales: la creatividad en la reutilización y el reciclaje de elementos existentes no solo beneficia al bolsillo sino también al planeta, alineándose con prácticas más sostenibles.</w:t>
        <w:br/>
        <w:t/>
        <w:br/>
        <w:t>Flexibilidad y priorización: adaptarse a cambios y priorizar áreas críticas puede optimizar los recursos y mejorar la experiencia de renovación, centrándose en lo que realmente importa para los ocupantes.</w:t>
        <w:br/>
        <w:t/>
        <w:br/>
        <w:t>Cumplimiento normativo: una prioridad en las reformas</w:t>
        <w:br/>
        <w:t/>
        <w:br/>
        <w:t>CENTURY 21 España recalca la importancia de adherirse a las normativas locales, incluyendo la obtención de las licencias de obra pertinentes y el seguimiento de las regulaciones de construcción. Estos pasos son vitales para garantizar la legalidad y seguridad de las reformas, evitando posibles complicaciones futuras.</w:t>
        <w:br/>
        <w:t/>
        <w:br/>
        <w:t>Futuro de las reformas: innovación y personalización</w:t>
        <w:br/>
        <w:t/>
        <w:br/>
        <w:t>Mirando hacia el futuro, las tendencias apuntan hacia una mayor personalización de los espacios, donde la tecnología y la sostenibilidad jugarán roles clave. En este panorama, CENTURY 21 España se posiciona como un líder en el sector inmobiliario además de como un aliado esencial en el camino que orientará a las personas a conseguir la casa de sus sueños, proporcionando una guía y soporte en cada paso del proceso de reforma.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