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participará en la conferencia BIO-Europe Spring</w:t>
      </w:r>
    </w:p>
    <w:p>
      <w:pPr>
        <w:pStyle w:val="Ttulo2"/>
        <w:rPr>
          <w:color w:val="355269"/>
        </w:rPr>
      </w:pPr>
      <w:r>
        <w:rPr>
          <w:color w:val="355269"/>
        </w:rPr>
        <w:t>La compañía es una empresa diversificada de fase clínica que desarrolla terapias diseñadas para tratar el cáncer y enfermedades relacionadas en áreas de gran carencia</w:t>
      </w:r>
    </w:p>
    <w:p>
      <w:pPr>
        <w:pStyle w:val="LOnormal"/>
        <w:rPr>
          <w:color w:val="355269"/>
        </w:rPr>
      </w:pPr>
      <w:r>
        <w:rPr>
          <w:color w:val="355269"/>
        </w:rPr>
      </w:r>
    </w:p>
    <w:p>
      <w:pPr>
        <w:pStyle w:val="LOnormal"/>
        <w:jc w:val="left"/>
        <w:rPr/>
      </w:pPr>
      <w:r>
        <w:rPr/>
        <w:t>Theriva Biologics (NYSE American: TOVX), empresa diversificada de fase clínica que investiga tratamientos antineoplásicos y enfermedades relacionadas en áreas de gran carencia, ha anunciado hoy que la dirección de la empresa ofrecerá una actualización corporativa y participará en reuniones individuales durante la Conferencia BIO-Europe Spring, que se celebrará en Barcelona (España) del 18 al 20 de marzo de 2024.</w:t>
        <w:br/>
        <w:t/>
        <w:br/>
        <w:t>Conferencia BIO-Europe Spring</w:t>
        <w:br/>
        <w:t/>
        <w:br/>
        <w:t>Formato: Presentación corporativa y reuniones individuales</w:t>
        <w:br/>
        <w:t/>
        <w:br/>
        <w:t>Fecha de presentación: Lunes, 18 de marzo de 2024</w:t>
        <w:br/>
        <w:t/>
        <w:br/>
        <w:t>Hora de la presentación: 15:00 horas (CET)</w:t>
        <w:br/>
        <w:t/>
        <w:br/>
        <w:t>Lugar de la presentación: Sala 133/134, Centro de Convenciones Internacional de Barcelona (CCIB)</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w:t>
        <w:br/>
        <w:t/>
        <w:br/>
        <w:t>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 Más información deTheriva Biologics enwww.therivabio.com.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