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https://static.comunicae.com/photos/notas/1252328/Portada_Informe_Clima_2024.png</w:t>
        </w:r>
      </w:hyperlink>
    </w:p>
    <w:p>
      <w:pPr>
        <w:pStyle w:val="Ttulo1"/>
        <w:spacing w:lineRule="auto" w:line="240" w:before="280" w:after="280"/>
        <w:rPr>
          <w:sz w:val="44"/>
          <w:szCs w:val="44"/>
        </w:rPr>
      </w:pPr>
      <w:r>
        <w:rPr>
          <w:sz w:val="44"/>
          <w:szCs w:val="44"/>
        </w:rPr>
        <w:t>El número de catástrofes multimillonarias en 2023, el más alto jamás registrado: Informe de Aon</w:t>
      </w:r>
    </w:p>
    <w:p>
      <w:pPr>
        <w:pStyle w:val="Ttulo2"/>
        <w:rPr>
          <w:color w:val="355269"/>
        </w:rPr>
      </w:pPr>
      <w:r>
        <w:rPr>
          <w:color w:val="355269"/>
        </w:rPr>
        <w:t>El Informe Anual de Clima y Catástrofes de Aon revela que las pérdidas económicas mundiales por catástrofes naturales alcanzaron los 380.000 millones de dólares en 2023. Las pérdidas aseguradas alcanzaron los 118.000 millones de dólares, con un déficit de protección del 69%. 95.000 víctimas mortales en el año más mortífero desde 2010</w:t>
      </w:r>
    </w:p>
    <w:p>
      <w:pPr>
        <w:pStyle w:val="LOnormal"/>
        <w:rPr>
          <w:color w:val="355269"/>
        </w:rPr>
      </w:pPr>
      <w:r>
        <w:rPr>
          <w:color w:val="355269"/>
        </w:rPr>
      </w:r>
    </w:p>
    <w:p>
      <w:pPr>
        <w:pStyle w:val="LOnormal"/>
        <w:jc w:val="left"/>
        <w:rPr/>
      </w:pPr>
      <w:r>
        <w:rPr/>
        <w:t>Aon plc (NYSE: AON), firma líder en servicios profesionales a nivel global, ha publicado su informe anual 2024 Weather, Climate and Catastrophe Insight Report, que identifica las tendencias mundiales en materia de catástrofes naturales y clima para ayudar a tomar mejores decisiones que permitan gestionar la volatilidad y aumentar la resiliencia mundial.</w:t>
        <w:br/>
        <w:t/>
        <w:br/>
        <w:t>El informe revela que las 398 catástrofes naturales ocurridas en todo el mundo causaron pérdidas económicas por valor de 380.000 millones de dólares (2022: 355.000 millones) durante el periodo de 12 meses analizado, un 22% por encima de la media del siglo XXI, impulsadas por importantes terremotos e implacables tormentas convectivas severas (SCS) en Estados Unidos y Europa.</w:t>
        <w:br/>
        <w:t/>
        <w:br/>
        <w:t>Las pérdidas mundiales aseguradas durante el año fueron un 31% superiores a la media del siglo XXI, superando los 100.000 millones de dólares por cuarto año consecutivo. Dado que los seguros sólo cubren 118.000 millones de dólares (2022: 151.000 millones), es decir, el 31% de las pérdidas totales, la brecha de protección se situó en el 69% (2022: 58%), lo que pone de manifiesto la urgencia de ampliar la cobertura de los seguros.</w:t>
        <w:br/>
        <w:t/>
        <w:br/>
        <w:t>El número de siniestros naturales de grandes pérdidas alcanzó niveles récord en 2023, con 66 siniestros de pérdidas económicas por valor de mil millones de dólares y 37 siniestros de pérdidas aseguradas por valor de mil millones de dólares. Los terremotos causaron la mayor parte de las pérdidas económicas, mientras que las tormentas convectivas severas fueron las más costosas para las aseguradoras. Nueva Zelanda, Italia, Grecia, Eslovenia y Croacia registraron los siniestros meteorológicos más costosos de la historia.</w:t>
        <w:br/>
        <w:t/>
        <w:br/>
        <w:t>El informe destaca que 95.000 personas perdieron la vida en todo el mundo a causa de riesgos naturales en 2023, la cifra más alta desde 2010, debido sobre todo a terremotos y olas de calor. En cuanto al clima, 2023 fue el año más caluroso jamás registrado, con anomalías de temperatura sin precedentes y máximos históricos observados en 24 países y territorios.</w:t>
        <w:br/>
        <w:t/>
        <w:br/>
        <w:t>En medio de la creciente volatilidad y complejidad, existe una oportunidad significativa para que las organizaciones se vuelvan más resilientes a los riesgos climáticos y catastróficos destacados ennuestro informe, afirma Greg Case, CEO de Aon. Trabajando en todo el sector privado y público, estamos acelerando la innovación, protegiendo a las comunidades desatendidas y abordando mejor los impactos económicos del clima extremo para crear resultados más sostenibles para las empresas y las comunidades de todo el mundo.</w:t>
        <w:br/>
        <w:t/>
        <w:br/>
        <w:t>La tabla de principales catástrofes, el informe completo y un breve vídeo están disponibles en el siguiente enlace.</w:t>
        <w:br/>
        <w:t/>
        <w:br/>
        <w:t>Acerca de Aon</w:t>
        <w:br/>
        <w:t/>
        <w:br/>
        <w:t>Aon plc (NYSE: AON) existe para dar forma a las mejores decisiones, para proteger y enriquecer la vida de las personas en todo el mundo. Sus profesionales ofrecen a sus clientes en más de 120 países y soberanías asesoría y soluciones que les aportan la claridad y la confianza para tomar las mejores decisiones con el fin de proteger y hacer crecer su negocio. Más información en: NOA.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