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https://static.comunicae.com/photos/notas/1251708/master-bim-online.jpg</w:t>
        </w:r>
      </w:hyperlink>
    </w:p>
    <w:p>
      <w:pPr>
        <w:pStyle w:val="Ttulo1"/>
        <w:spacing w:lineRule="auto" w:line="240" w:before="280" w:after="280"/>
        <w:rPr>
          <w:sz w:val="44"/>
          <w:szCs w:val="44"/>
        </w:rPr>
      </w:pPr>
      <w:r>
        <w:rPr>
          <w:sz w:val="44"/>
          <w:szCs w:val="44"/>
        </w:rPr>
        <w:t>BIM se consolida como un requisito clave en los procesos de licitación</w:t>
      </w:r>
    </w:p>
    <w:p>
      <w:pPr>
        <w:pStyle w:val="Ttulo2"/>
        <w:rPr>
          <w:color w:val="355269"/>
        </w:rPr>
      </w:pPr>
      <w:r>
        <w:rPr>
          <w:color w:val="355269"/>
        </w:rPr>
        <w:t>En 2023 se registraron en España 532 licitaciones con presencia de la metodología Building Information Modeling que supusieron una inversión total de 2.781 millones de euros</w:t>
      </w:r>
    </w:p>
    <w:p>
      <w:pPr>
        <w:pStyle w:val="LOnormal"/>
        <w:rPr>
          <w:color w:val="355269"/>
        </w:rPr>
      </w:pPr>
      <w:r>
        <w:rPr>
          <w:color w:val="355269"/>
        </w:rPr>
      </w:r>
    </w:p>
    <w:p>
      <w:pPr>
        <w:pStyle w:val="LOnormal"/>
        <w:jc w:val="left"/>
        <w:rPr/>
      </w:pPr>
      <w:r>
        <w:rPr/>
        <w:t>BIM se consolida como un requisito clave en los procesos de licitación, y así lo reflejan los últimos datos hechos públicos por la buildingSMART Spain.</w:t>
        <w:br/>
        <w:t/>
        <w:br/>
        <w:t>En concreto, a lo largo de 2023 se invirtieron un total de 2.781 millones de euros en 532 adjudicaciones de proyectos de edificación y de infraestructuras con implementación de la metodología Building Information Modeling. Estos datos se recogen en el dashboard del Observatorio de licitaciones de la buildingSMART Spain, que puede consultarse en la página web de la asociación.</w:t>
        <w:br/>
        <w:t/>
        <w:br/>
        <w:t>La apuesta por esta metodología de trabajo colaborativo, que conlleva notables beneficios, entre ellos la unificación de recursos e información, la reducción de costes y la anticipación a posibles errores en los procesos de cualquier proyecto, es ya una constante por parte de los principales organismos públicos, como Ministerios, Gobiernos Autonómicos, Ayuntamientos o Entidades Públicas.</w:t>
        <w:br/>
        <w:t/>
        <w:br/>
        <w:t>BIM, tecnología y filosofía de trabajo cada vez más estudiada por los profesionales del sector AECO (Arquitectura, Ingeniería, Construcción, Operaciones) a través de programas de máster BIM, entre otras opciones de formación, predomina en la actualidad en los contratos de obras, que supusieron el 72,64% de la inversión a lo largo de 2023, seguidos por los de servicios (17,69%) y los contratos de tipo mixto (9,61%).</w:t>
        <w:br/>
        <w:t/>
        <w:br/>
        <w:t>En cuanto a los lugares de ejecución de las licitaciones BIM a lo largo del año pasado, Madrid encabeza el ranking con 311 millones de euros invertidos en 36 licitaciones, seguida, por este orden, de Pontevedra (289 millones, 2 licitaciones), Navarra (285 millones 4 licitaciones), Barcelona (225 millones, 133 licitaciones), Almería (219 millones, 6 licitaciones), Sevilla (219 millones, 15 licitaciones), Cantabria (190 millones, 5 licitaciones), Alicante (129 millones, 6 licitaciones), Valencia (112 millones, 37 licitaciones) y Burgos (98 millones, 3 licitaciones).</w:t>
        <w:br/>
        <w:t/>
        <w:br/>
        <w:t>Por contra, a la cola del ranking, los lugares que menos apuestan por adjudicaciones de proyectos en base a esta metodología son Ceuta, Cáceres, Albacete, La Gomera, Menorca, La Coruña, Huelva, Palencia, Huesca y Badajoz.</w:t>
        <w:br/>
        <w:t/>
        <w:br/>
        <w:t>Las diez entidades adjudicatarias más potentes en procesos con licitación en base a Building Information Modeling fueron, por este orden, ADIF (Administrador de Infraestructuras Ferroviarias), Ayuntamiento de Pontevedra, Infraestructures de la Generalitat de Catalunya, Junta de Andalucía, Dirección General de Carreteras, Ferrocarrils de la Generalitat Valenciana, Ens dAbastament dAigua Ter-Llobregat (ATL), Junta de Castilla y León, Ministerio de Inclusión, Seguridad Social y Migraciones, y Aguas de las Cuencas Mediterráneas (ACUAMED).</w:t>
        <w:br/>
        <w:t/>
        <w:br/>
        <w:t>Así, los datos recogidos por la buildingSMART Spain reflejan que el sector con mayor presencia de licitaciones BIM, sumando proyectos de edificación y de infraestructuras, es el ferroviario, seguido de los de carreteras, hidráulico, hospitalario, industrial y de oficinas. Aunque en menor medida, también apuestan por la revolucionaria metodología colaborativa los sectores de infraestructuras y edificaciones educativas, culturales, de aparcamientos y marítimas. Y donde menor presencia tiene a día de hoy BIM como requisito en las adjudicaciones es en los proyectos de aeropuertos, agrarios, comerciales, de defensa, deportivos, de energía, hoteleros, penitenciarios, de puentes y de infraestructuras y edificaciones subterráneas.</w:t>
        <w:br/>
        <w:t/>
        <w:br/>
        <w:t>La progresión al alza de BIM en la licitación pública es una tendencia ya consolidada. De hecho, según refleja el Observatorio de la buildingSMART Spain, la inversión acumulada en estos procesos entre 2022 y 2023, correspondiente a 4.281 millones de euros, es muy superior a la inversión se realizó entre 2021 y 2022, que fue de 2.669 millones.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