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https://static.comunicae.com/photos/notas/1250297/InterAx_Biotech_AG-Logo.png</w:t>
        </w:r>
      </w:hyperlink>
    </w:p>
    <w:p>
      <w:pPr>
        <w:pStyle w:val="Ttulo1"/>
        <w:spacing w:lineRule="auto" w:line="240" w:before="280" w:after="280"/>
        <w:rPr>
          <w:sz w:val="44"/>
          <w:szCs w:val="44"/>
        </w:rPr>
      </w:pPr>
      <w:r>
        <w:rPr>
          <w:sz w:val="44"/>
          <w:szCs w:val="44"/>
        </w:rPr>
        <w:t>InterAx Biotech anuncia que ha recibido una subvención europea para financiar el desarrollo de fármacos </w:t>
      </w:r>
    </w:p>
    <w:p>
      <w:pPr>
        <w:pStyle w:val="Ttulo2"/>
        <w:rPr>
          <w:color w:val="355269"/>
        </w:rPr>
      </w:pPr>
      <w:r>
        <w:rPr>
          <w:color w:val="355269"/>
        </w:rPr>
        <w:t>También informa sobre los aspectos financieros más destacados. InterAx Biotech AG, una empresa de desarrollo de productos farmacéuticos pionera en farmacología computacional para el descubrimiento de fármacos, anuncia la concesión de una prestigiosa subvención altamente competitiva para aplicar su plataforma de descubrimiento y desarrollo de fármacos a los programas de tecnologías innovadoras patrocinados por la Comisión Europea</w:t>
      </w:r>
    </w:p>
    <w:p>
      <w:pPr>
        <w:pStyle w:val="LOnormal"/>
        <w:rPr>
          <w:color w:val="355269"/>
        </w:rPr>
      </w:pPr>
      <w:r>
        <w:rPr>
          <w:color w:val="355269"/>
        </w:rPr>
      </w:r>
    </w:p>
    <w:p>
      <w:pPr>
        <w:pStyle w:val="LOnormal"/>
        <w:jc w:val="left"/>
        <w:rPr/>
      </w:pPr>
      <w:r>
        <w:rPr/>
        <w:t>El volumen total del proyecto Horizon Europe EIC Pathfinder es de 3,7 millones de euros, que se reparten entre los participantes en el proyecto. En este consorcio, InterAx ha conseguido más de 700k. Los objetivos del consorcio son poner en práctica métodos innovadores para caracterizar las funciones intracelulares de los fármacos candidatos, un componente crítico en el proceso de selección de compuestos líderes. Un objetivo clave es generar conjuntos de datos de alta calidad para entrenar algoritmos de IA que permitan dilucidar respuestas biológicas. Cada participante aporta al programa un conjunto de conocimientos y tecnologías únicos y complementarios. InterAx fue seleccionada tras la revisión de un grupo de expertos, que reconocieron como crucial para el éxito del programa el uso pionero de modelos matemáticos e IA en el desarrollo de fármacos con efectos celulares específicos.</w:t>
        <w:br/>
        <w:t/>
        <w:br/>
        <w:t>El Dr. Aurélien Rizk, Director Científico, ha declarado: Los revisores han reconocido nuestro desarrollo de una plataforma puntera de descubrimiento de fármacos asistida por ordenador. Destaca en la descodificación de intrincadas respuestas biológicas intracelulares, la identificación de efectos celulares ideales que maximizan la eficacia al tiempo que minimizan los efectos secundarios y el diseño de nuevos fármacos en consecuencia.</w:t>
        <w:br/>
        <w:t/>
        <w:br/>
        <w:t>El Dr. Chris Prior, Consejero Delegado, señaló: Estamos encantados de haber sido seleccionados para una subvención europea altamente competitiva que tiene una tasa histórica de éxito de alrededor del 4%. Se trata de una tremenda validación de la revisión por pares que honra al equipo multidisciplinar de científicos de InterAx, expertos en química orgánica y computacional, biofísica, biología molecular, farmacología, matemáticas e inteligencia artificial. El Dr. Prior añadió: Este premio complementa en gran medida nuestras necesidades de financiación, además de añadir una validación significativa en apoyo de los esfuerzos de recaudación de fondos y las conversaciones con los socios. También estamos muy satisfechos con el fuerte apoyo de nuestros inversores en una reciente financiación. La recaudación hará avanzar nuestros dos principales programas internos en cáncer e inflamación hacia IND y esto nos preparará para la siguiente fase de financiación.</w:t>
        <w:br/>
        <w:t/>
        <w:br/>
        <w:t>InterAx Biotech AG</w:t>
        <w:br/>
        <w:t/>
        <w:br/>
        <w:t>La empresa, una spin-out de la ETH de Zúrich y el Instituto Paul Scherrer de Suiza, ha desarrollado un proceso integrado de descubrimiento de fármacos que combina el cribado bioquímico de compuestos, el modelado matemático de vías celulares y la relación estructura-función química basada en Inteligencia Artificial. Este enfoque único permite la identificación rápida y precisa de mecanismos celulares novedosos para desarrollar productos diferenciados que destaquen por sus perfiles de eficacia y seguridad. Esta plataforma desbloquea dianas antes intratables, acorta los plazos de descubrimiento de fármacos de años a meses y reduce los riesgos.</w:t>
        <w:br/>
        <w:t/>
        <w:br/>
        <w:t>La empresa está especializada en el descubrimiento de fármacos para receptores acoplados a proteínas G (GPCR) y se ocupa de la generación y optimización de dianas, incluidos los GPCR huérfanos. InterAx cuenta con un equipo de científicos altamente experimentados y especializados en IA, modelos matemáticos de vías de señalización, farmacología celular y química computacional. En la actualidad, la empresa está financiada por inversores institucionales y por una subvención de la Comisión Europea, y se prepara para la siguiente ronda de financiación con el fin de ampliar sus capacidades y avanzar en el desarrollo de fármacos candidatos.</w:t>
        <w:br/>
        <w:t/>
        <w:br/>
        <w:t>Más información:</w:t>
        <w:br/>
        <w:t/>
        <w:br/>
        <w:t>linkedin.com/company/interax-biotech</w:t>
        <w:br/>
        <w:t/>
        <w:br/>
        <w:t>www.interaxbiotech.com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Zurich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