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https://static.comunicae.com/photos/notas/1247362/licitaciones-bim.jpg</w:t>
        </w:r>
      </w:hyperlink>
    </w:p>
    <w:p>
      <w:pPr>
        <w:pStyle w:val="Ttulo1"/>
        <w:spacing w:lineRule="auto" w:line="240" w:before="280" w:after="280"/>
        <w:rPr>
          <w:sz w:val="44"/>
          <w:szCs w:val="44"/>
        </w:rPr>
      </w:pPr>
      <w:r>
        <w:rPr>
          <w:sz w:val="44"/>
          <w:szCs w:val="44"/>
        </w:rPr>
        <w:t>BIM aumenta su presencia en los procesos de licitación</w:t>
      </w:r>
    </w:p>
    <w:p>
      <w:pPr>
        <w:pStyle w:val="Ttulo2"/>
        <w:rPr>
          <w:color w:val="355269"/>
        </w:rPr>
      </w:pPr>
      <w:r>
        <w:rPr>
          <w:color w:val="355269"/>
        </w:rPr>
        <w:t>En el primer semestre de 2023, se han invertido 1.782 millones de euros en adjudicaciones de proyectos con metodología Building Information Modeling</w:t>
      </w:r>
    </w:p>
    <w:p>
      <w:pPr>
        <w:pStyle w:val="LOnormal"/>
        <w:rPr>
          <w:color w:val="355269"/>
        </w:rPr>
      </w:pPr>
      <w:r>
        <w:rPr>
          <w:color w:val="355269"/>
        </w:rPr>
      </w:r>
    </w:p>
    <w:p>
      <w:pPr>
        <w:pStyle w:val="LOnormal"/>
        <w:jc w:val="left"/>
        <w:rPr/>
      </w:pPr>
      <w:r>
        <w:rPr/>
        <w:t>Con una tendencia al alza desde 2018, la metodología de trabajo colaborativo Building Information Modeling se consolida año tras año como una apuesta cada vez más sólida en los procesos de licitación.</w:t>
        <w:br/>
        <w:t/>
        <w:br/>
        <w:t>La presencia de BIM como requisito y ventaja en las adjudicaciones de proyectos tanto edificación como de infraestructuras crece de una manera firme y progresiva, y así lo reflejan los datos analizados y hechos públicos por la buildingSMART Spain. En concreto, en el primer semestre de este año 2023 se han invertido 1.782 millones de euros en un total de 315licitaciones BIM adjudicadas a 84 entidades, tal y como recoge el dashboard del Observatorio de licitaciones de dicha organización que puede consultarse en su página web.</w:t>
        <w:br/>
        <w:t/>
        <w:br/>
        <w:t>El uso de esta metodología que apuesta por procesos colaborativos y en tiempo real y que permite anticiparse a los posibles errores, unificar recursos e información o prevenir sobrecostes en los presupuestos de lo proyectado, es cada vez más frecuente por parte de los principales organismos públicos. En estos seis primeros meses de 2023, la entidad pública ADIF, adscrita al Ministerio de Transportes, Movilidad y Agenda Urbana, con 434 millones de euros, el Ayuntamiento de Pontevedra, con cerca de 290 millones, y la empresa pública Infraestructures de la Generalitat de Catalunya, SAU, con 243 millones, han sido las entidades adjudicatarias con mayores inversiones en este sentido, seguidas de la Dirección General de Carreteras, que ha invertido casi 179 millones de euros en procesos de licitación BIM.</w:t>
        <w:br/>
        <w:t/>
        <w:br/>
        <w:t>La revolucionaria tecnología BIM se extiende con paso firme en la Administración Pública, y en general en el conjunto del sector AECO, cuyos profesionales valoran cada vez más una adecuada especialización en esta metodología de trabajo colaborativo, especialmente a través de alguno de los demandados programas de formación que se ofertan, y entre los que destaca el Máster BIM Manager Internacional (VR) de la consultora Espacio BIM -www.espaciobim.com-.</w:t>
        <w:br/>
        <w:t/>
        <w:br/>
        <w:t>En cuanto a los lugares de ejecución, Pontevedra encabeza el ranking con mayor importe invertido en procesos de licitación BIM en este primer semestre del año, con 290 millones, seguida de Madrid (279 millones), Barcelona (212), Almería (211), Cantabria (177), Alicante (126), Burgos (98), Valencia (86), Soria (73), Lleida (48) y Cádiz (39 millones).</w:t>
        <w:br/>
        <w:t/>
        <w:br/>
        <w:t>El sector ferroviario es el que refleja una mayor apuesta por este tipo de procesos, seguido de los de urbanización, carreteras, hospitalario, hidráulico y, en menor medida, los sectores de viviendas, educativo, de aparcamientos y de oficinas. Mientras que los que menos inversión reflejan son los dedicados a infraestructuras o edificaciones en cultura, aeropuertos, proyectos deportivos, de energía, marítimos, penitenciarios, de puentes y subterráneos.</w:t>
        <w:br/>
        <w:t/>
        <w:br/>
        <w:t>En lo que respecta a los tipos de licitaciones, la mayor inversión en base a BIM se ha realizado en este primer semestre en contratos de Infraestructuras, con 1.411 millones invertidos en 199 licitaciones (adjudicadas a un total de 35 entidades), mientras que en Edificaciones se han realizado en este primer semestre 116 licitaciones con Building Information Modeling en las que se han invertido 371 millones de euros y que han contado con 57 entidades adjudicatarias.</w:t>
        <w:br/>
        <w:t/>
        <w:br/>
        <w:t>La progresión al alza de BIM en la licitación pública parece imparable. De hecho, según datos del Observatorio de la buildingSMART Spain, en lo que va de 2023 se ha incrementado notablemente la inversión en licitaciones respecto al mismo periodo (primer semestre) de 2022. En concreto, este año se han invertido en estos procesos 1.135 millones de euros más, con 72 licitaciones más respecto a 2022. Y, mirando más en global, desde 2018 hasta hoy se ha invertido la cifra de 7.252 millones de euros en un total de 2.435 licitaciones BIM.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Nacional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