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https://static.comunicae.com/photos/notas/1243090/Bildschirmfoto_2023-02-03_um_12.38.31.png</w:t></w:r></w:hyperlink></w:p><w:p><w:pPr><w:pStyle w:val="Ttulo1"/><w:spacing w:lineRule="auto" w:line="240" w:before="280" w:after="280"/><w:rPr><w:sz w:val="44"/><w:szCs w:val="44"/></w:rPr></w:pPr><w:r><w:rPr><w:sz w:val="44"/><w:szCs w:val="44"/></w:rPr><w:t>Más de 250 profesionales del sector financiero en la Convención Anual de Safebrok </w:t></w:r></w:p><w:p><w:pPr><w:pStyle w:val="Ttulo2"/><w:rPr><w:color w:val="355269"/></w:rPr></w:pPr><w:r><w:rPr><w:color w:val="355269"/></w:rPr><w:t>Partners estratégicos y Gestores de fondos relevantes a nivel internacional participaron en este evento de la compañía de servicios financieros</w:t></w:r></w:p><w:p><w:pPr><w:pStyle w:val="LOnormal"/><w:rPr><w:color w:val="355269"/></w:rPr></w:pPr><w:r><w:rPr><w:color w:val="355269"/></w:rPr></w:r></w:p><w:p><w:pPr><w:pStyle w:val="LOnormal"/><w:jc w:val="left"/><w:rPr></w:rPr></w:pPr><w:r><w:rPr></w:rPr><w:t>A finales de enero se dio lugar el encuentro más importante de la entidad en la ciudad de Sevilla donde se invitó tanto al equipo comercial y corporativo de España como de Portugal con el objetivo de mostrar los resultados de 2022 y hablar de la estrategia de crecimiento que se prevé para los próximos tres años.</w:t><w:br/><w:t></w:t><w:br/><w:t>La evolución de SafeBroken la Península Ibérica es imparable desde que aterrizara bajo un nombre que aúna dos líneas de negocio pensadas para aportar un servicio de planificación integral a los clientes. SafeBrok Europe es la división especializada en gestión patrimonial y SafeBrok la división dedicada al asesoramiento en materia de seguros.</w:t><w:br/><w:t></w:t><w:br/><w:t>El modelo de negocio de Safebrok radica en ofrecer a los clientes una arquitectura abierta de productos de proveedores financieros de primer nivel; estructura diferenciadora que permite hacer un asesoramiento independiente y de calidad. De este modo: la compañía democratiza la accesibilidad al sector y contribuye a que la sociedad adquiera una mayor educación financiera para que de manera imparcial pueda tomar sus propias decisiones.</w:t><w:br/><w:t></w:t><w:br/><w:t>El equipo comercial, clave del éxito de la compañía, está compuesto por profesionales certificados con una dilatada experiencia en la industria y especializados en asesoría financiera y gestión del riesgo. SafeBrok apuesta por un modelo de relación basado en el acompañamiento, la transparencia, la independencia y laprofesionalidad; un nuevo paradigma que emerge desde la esencia de una empresa de Personas para Personas.</w:t><w:br/><w:t></w:t><w:br/><w:t>En este marco y siguiendo la filosofía de cohesión y cercanía que promueve la entidad, se ha celebrado su Convención Anual para concentrar durante dos días a más de 250 compañeros que han vivido unas jornadas marcadas por las cifras halagüeñas, las ponencias de los patrocinadores y el espíritu familiar que se respira entre los miembros que componen la organización.</w:t><w:br/><w:t></w:t><w:br/><w:t>SafeBrok ha contado entre sus invitados de honor con la presencia de: Caser, Liontrust, Allianz Global Investors y Federated Hermes. Las Gestoras patrocinadoras oficiales han aprovechado el encuentro para realizar una exposición sobre sus mejores fondos y estrategias de cara al 2023; mientras que la compañía aseguradora ha presentado a la red comercial, entre otras cosas, una de sus apuestas más fuertes para este año, el Plan de Ahorro Cling Cling que SafeBrok incluirá en su portfolio.</w:t><w:br/><w:t></w:t><w:br/><w:t>Entre los invitados silver se ha contado con la participación individual de las Gestoras M&G Investments, Lazard y Columbia Threadneedle Investments, además de intervenir y debatir en una mesa redonda, los temas de interés general en el sector financiero, capitaneada por la subdirectora general y directora de inversiones, Eva Benítez.</w:t><w:br/><w:t></w:t><w:br/><w:t>Durante la jornada del viernes también han tenido lugar las presentaciones de los invitados bronze: Bellevue, Tikehau Capital, Amiral Gestion, Edmond de Rothschild y Dunas Capital.</w:t><w:br/><w:t></w:t><w:br/><w:t>Asimismo, Creand Asset Management y Mapfre, dos de las alianzas estratégicas más importantes de la compañía también han apoyado a la Casa un año más con sus exposiciones.</w:t><w:br/><w:t></w:t><w:br/><w:t>Uno de los principales retos de SafeBrok para el ejercicio de este año es seguir desarrollando la fuerza de ventas con una previsión de 150 incorporaciones en equipos comerciales distribuidos por todo el mapa español. Los perfiles senior con más de 50 años también son bienvenidos.Del mismo modo, la compañía seguirá aperturando centros de negocio que se sumarán al listado de las 30 oficinas que ya se encuentran ubicadas a pleno rendimiento en las plazas más estratégicas del territorio nacional.</w:t><w:br/><w:t></w:t><w:br/><w:t>La empresa vislumbra el futuro desde una perspectiva absolutamente positiva e inspiradora, pues los buenos resultados económicos cosechados en los últimos años, su desarrollo en recursos humanos y técnicos, así como la expansión geográfica que está experimentando de un tiempo a esta parte, la convierten en un player indiscutible en el mercado y la sitúan en el camino correcto para lograr su principal objetivo: ser referente global en asesoramiento en materia de finanzas y seguros.</w:t><w:br/><w:t></w:t><w:br/><w:t>Safebrok cuenta con vacantes en diversas áreas. Más información a través de su página oficial de Linkedin y la Web: www.safebrok.com.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