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https://static.comunicae.com/photos/notas/1241329/Schaeffler_Flaggen_web-jpeg_1.jpg</w:t>
        </w:r>
      </w:hyperlink>
    </w:p>
    <w:p>
      <w:pPr>
        <w:pStyle w:val="Ttulo1"/>
        <w:spacing w:lineRule="auto" w:line="240" w:before="280" w:after="280"/>
        <w:rPr>
          <w:sz w:val="44"/>
          <w:szCs w:val="44"/>
        </w:rPr>
      </w:pPr>
      <w:r>
        <w:rPr>
          <w:sz w:val="44"/>
          <w:szCs w:val="44"/>
        </w:rPr>
        <w:t>Schaeffler logra un 3er trimestre sólido y prometedor en un entorno difícil </w:t>
      </w:r>
    </w:p>
    <w:p>
      <w:pPr>
        <w:pStyle w:val="Ttulo2"/>
        <w:rPr>
          <w:color w:val="355269"/>
        </w:rPr>
      </w:pPr>
      <w:r>
        <w:rPr>
          <w:color w:val="355269"/>
        </w:rPr>
        <w:t>El volumen de negocios crece un 20,2% a tipo de cambio constante en el tercer trimestre - Automotive Technologies aporta un fuerte aumento del volumen de negocios del 25,2% a tipo de cambio constante en el tercer trimestre de 2022, gracias al incremento de los volúmenes . Automotive Aftermarket se beneficia de la elevada demanda del mercado. Industrial informa de un rendimiento excelente, con un margen EBIT ajustado del 12,5% y una aportación de casi el 50% a los resultados 
</w:t>
      </w:r>
    </w:p>
    <w:p>
      <w:pPr>
        <w:pStyle w:val="LOnormal"/>
        <w:rPr>
          <w:color w:val="355269"/>
        </w:rPr>
      </w:pPr>
      <w:r>
        <w:rPr>
          <w:color w:val="355269"/>
        </w:rPr>
      </w:r>
    </w:p>
    <w:p>
      <w:pPr>
        <w:pStyle w:val="LOnormal"/>
        <w:jc w:val="left"/>
        <w:rPr/>
      </w:pPr>
      <w:r>
        <w:rPr/>
        <w:t>Schaeffler, proveedor global de los sectores de automoción e industria, ha presentado el informe financiero provisional para los nueve primeros meses de 2022. El volumen de negocios del Grupo Schaeffler, en el período del informe, ha ascendido a 11.790 millones de euros (ejercicio anterior: 10.346 millones de euros). El aumento del 8,7% del volumen de negocios a tipo de cambio constante, comparado con el ejercicio anterior, corresponde en gran parte a unos volúmenes superiores. La realización con éxito de los precios en las tres divisiones, ha contribuido a reforzar la tendencia del volumen de negocios, puesto que los aumentos considerables de los costes de adquisición se han podido traspasar progresivamente al mercado. El volumen de negocios del tercer trimestre de 2022 ha aumentado un considerable 20,2% a tipo de cambio constante, situándose en los 4.242 millones de euros (ejercicio anterior: 3.332 millones de euros).</w:t>
        <w:br/>
        <w:t/>
        <w:br/>
        <w:t>Todas las regiones han contribuido al crecimiento del volumen de negocios en el período del informe. Sobre todo, las regiones de Europa y Américas han informado de un crecimiento considerable a tipo de cambio constante del 11,2 y del 11,8%, respectivamente, durante los nueve primeros meses del año. Aunque el volumen de negocios descendió en Greater China, en el segundo trimestre, debido a las medidas de confinamiento impuestas para contener la pandemia del coronavirus, el crecimiento del volumen de negocios del período del informe de nueve meses se ha situado nuevamente en un 2,7% a tipo de cambio constante. El volumen de negocios en el tercer trimestre ha crecido un 24,8% a tipo de cambio constante, después de una reducción del 12,5% en el trimestre anterior. La región Asia/Pacífico ha contribuido con un crecimiento del volumen de negocios del 6,0% a tipo de cambio constante.</w:t>
        <w:br/>
        <w:t/>
        <w:br/>
        <w:t>En los nueve primeros meses, el Grupo Schaeffler ha informado de un EBIT antes de efectos especiales de 813 millones de euros (ejercicio anterior: 962 millones de euros). Esto representa un margen EBIT antes de efectos especiales del 6,9% (ejercicio anterior: 9,3%). El margen EBIT antes de efectos especiales se ha visto perjudicado por los elevados costes de transporte y logística. El margen EBIT ajustado del tercer trimestre se ha situado en un 8,4%.</w:t>
        <w:br/>
        <w:t/>
        <w:br/>
        <w:t>En los nueve primeros meses, Schaeffler ha obtenido buenos resultados, pese a un entorno difícil. Todas las divisiones han logrado trasladar al mercado el aumento en los costes de adquisición. Nuestra disciplina en cuanto a costes y capital es clave para asegurar la competitividad y mejorar la rentabilidad, ha dicho Claus Bauer, CFO de Schaeffler AG.</w:t>
        <w:br/>
        <w:t/>
        <w:br/>
        <w:t>El Comité de Dirección de Schaeffler AG ha decidido implementar medidas estructurales adicionales en la división Automotive Technologies para mejorar aún más su posición competitiva y reducir los costes fijos.</w:t>
        <w:br/>
        <w:t/>
        <w:br/>
        <w:t>Encontrarán información detallada en otro comunicado para Investor Relations y prensa que se publicará después del actual.</w:t>
        <w:br/>
        <w:t/>
        <w:br/>
        <w:t>Automotive Technologies con una sólida entrada de pedidos de movilidad eléctrica </w:t>
        <w:br/>
        <w:t/>
        <w:br/>
        <w:t>La división Automotive Technologies ha informado de un volumen de negocios de 7.070 millones de euros en los nueve primeros meses (ejercicio anterior: 6.286 millones de euros). El crecimiento del volumen de negocios del 7,0% a tipo de cambio constante ha sido impulsado principalmente por el fuerte aumento de volúmenes en el tercer trimestre de 2022 y se ha situado ligeramente por debajo de la tasa de crecimiento del 7,5%[1] de la producción mundial de automóviles. La división ha logrado traspasar gradualmente los costes de adquisición, que han aumentado drásticamente.</w:t>
        <w:br/>
        <w:t/>
        <w:br/>
        <w:t>Durante los nueve primeros meses, el volumen de negocios ha aumentado en todas las unidades de negocio y regiones, siendo las unidades de negocio e-Mobility y Sistemas de chasis las que han generado las mayores tasas de crecimiento a tipo de cambio constante, con un 28,4 y un 28,1%, respectivamente. La cartera de pedidos de la división ha ascendido a 9.700 millones de euros, incluyendo 4.700 millones de euros de la unidad de negocio e-Mobility.</w:t>
        <w:br/>
        <w:t/>
        <w:br/>
        <w:t>La división ha registrado un EBIT antes de efectos especiales de 213 millones de euros (ejercicio anterior: 437 millones de euros) en el período del informe. El margen EBIT antes de efectos especiales ha sido del 3,0% para el mismo período, inferior al 6,9% del ejercicio anterior.</w:t>
        <w:br/>
        <w:t/>
        <w:br/>
        <w:t>Automotive Aftermarket se beneficia de la elevada demanda del mercado</w:t>
        <w:br/>
        <w:t/>
        <w:br/>
        <w:t>La división Automotive Aftermarket ha registrado un volumen de negocios de 1.516 millones de euros (ejercicio anterior: 1.411 millones de euros) en los nueve primeros meses del año, lo que supone un crecimiento del volumen de negocios del 4,0% a tipo de cambio constante. El crecimiento ha sido impulsado principalmente por los ajustes favorables de los precios de venta, ya que la división ha logrado el traspaso paulatino de los costes de adquisición, que habían aumentado considerablemente, al mercado. En parte debido al aumento continuo del parque de vehículos y la edad media de los mismos, la demanda de piezas de recambio sigue siendo elevada, especialmente en el negocio de Independent Aftermarket. La división ha conseguido compensar el descenso del volumen de negocios en la subregión de Europa Central y Oriental debido a la guerra en Ucrania gracias al crecimiento registrado en otros mercados.</w:t>
        <w:br/>
        <w:t/>
        <w:br/>
        <w:t>Estos acontecimientos han generado un EBIT antes de efectos especiales de 198 millones de euros (ejercicio anterior: 207 millones de euros), con lo que, una vez más, su aportación a los resultados del Grupo ha sido importante. Esto representa un margen EBIT antes de efectos especiales del 13,1% (ejercicio anterior: 14,7%). Este descenso, en comparación con el ejercicio anterior, se atribuye principalmente a un aumento de los costes comerciales, debido en gran medida a unos efectos favorables únicos en el período del ejercicio anterior. Puesto que los ajustes realizados en los precios de venta compensan en gran parte el aumento considerable de los costes de adquisición, el margen bruto se ha situado solo ligeramente por debajo del valor del período del ejercicio anterior.</w:t>
        <w:br/>
        <w:t/>
        <w:br/>
        <w:t>La división Industrial efectúa una aportación de casi el 50% a los resultados del Grupo</w:t>
        <w:br/>
        <w:t/>
        <w:br/>
        <w:t>La división Industrial ha generado un volumen de negocios total de 3.205 millones de euros (ejercicio anterior: 2.649 millones de euros) en el período del informe. A tipo de cambio constante, el volumen de negocios ha aumentado un 15,0%. Este crecimiento se ha atribuido en especial al fuerte aumento de los volúmenes. La realización con éxito de los precios ha tenido un impacto positivo adicional en el crecimiento del volumen de negocios. El incremento de los volúmenes ha sido impulsado principalmente por la región Europa, que ha registrado un crecimiento considerable de la demanda en comparación con el ejercicio anterior, principalmente en las soluciones sectoriales de Distribución Industrial y Automatización Industrial. La solución sectorial de energía eólica ha vuelto a registrar un tercer trimestre de 2022 muy sólido y, una vez más, su aportación al volumen de negocios en los nueve primeros meses ha sido la mayor de todas las soluciones sectoriales.</w:t>
        <w:br/>
        <w:t/>
        <w:br/>
        <w:t>La división Industrial ha registrado un EBIT antes de efectos especiales de 402 millones de euros (ejercicio anterior: 318 millones de euros) en los nueve primeros meses, lo que supone una aportación de casi el 50% (ejercicio anterior: 33%) al EBIT antes de efectos especiales del Grupo. El margen EBIT antes de efectos especiales del 12,5% ha sido ligeramente superior al nivel del ejercicio anterior (12,0%), lo que se debe principalmente al margen bruto. El margen EBIT del tercer trimestre de 2022 antes de efectos especiales se ha situado en el 14,1% (mismo trimestre del ejercicio anterior: 12,3%). Además del ajuste de precios de venta implementado con éxito, en este caso el impulsor principal han sido las economías de escala derivadas del fuerte aumento en el volumen de negocios, lo que ha permitido compensar de sobra los efectos perjudiciales para el margen, como los incrementos de los costes de adquisición, transporte y logística.</w:t>
        <w:br/>
        <w:t/>
        <w:br/>
        <w:t>Asimismo, en el tercer trimestre se firmó un acuerdo para adquirir el Grupo Ewellix. La adquisición del fabricante y proveedor global de componentes y sistemas de técnica lineal, mejora la posición de mercado de Schaeffler, en particular en el negocio lineal. Sigue a la adquisición de Melior Motion a principios del año y refuerza aún más la solución sectorial de Automatización Industrial. Está previsto cerrar esta adquisición en el primer trimestre de 2023.</w:t>
        <w:br/>
        <w:t/>
        <w:br/>
        <w:t>Cash Flow positivo disponible con un sólido rendimiento en el tercer trimestre</w:t>
        <w:br/>
        <w:t/>
        <w:br/>
        <w:t>Con 240 millones de euros, el cash flow disponible del Grupo Schaeffler antes de las entradas y salidas de fondos para las actividades de fusiones y adquisiciones ha superado el del trimestre del ejercicio anterior (225 millones de euros), con lo que se ha alcanzado un cash flow disponible positivo antes de las entradas y salidas de fondos para las actividades de fusiones y adquisiciones para el período del informe de 35 millones de euros (ejercicio anterior: 468 millones de euros).</w:t>
        <w:br/>
        <w:t/>
        <w:br/>
        <w:t>Las inversiones realizadas en inmovilizado material y bienes inmateriales durante el tercer trimestre de 2022 han ascendido a 219 millones de euros (ejercicio anterior: 215 millones de euros), lo que representa una ratio CAPEX de un 5,2% (ejercicio anterior: 6,4%). A 30 de septiembre de 2022, la deuda financiera neta del Grupo ha ascendido a 2.331 millones de euros (31 de diciembre de 2021: 1.954 millones de euros). La relación entre la deuda y el EBITDA, definida como la deuda financiera neta dividida por el EBITDA antes de efectos especiales, ha sido del 1,1x a finales de septiembre de 2022 (31 de diciembre de 2021: 0,9x). El total de activos ha aumentado aproximadamente a 14.700 millones de euros a 30 de septiembre de 2022 (31 de diciembre de 2021: aproximadamente 14.400 millones de euros).</w:t>
        <w:br/>
        <w:t/>
        <w:br/>
        <w:t>Los ingresos netos atribuibles a los accionistas de la casa matriz han sido de 417 millones de euros para los nueve primeros meses de 2022 (ejercicio anterior: 611 millones de euros). Los dividendos por acción ordinaria sin derecho a voto han sido de 0,63 euros (ejercicio anterior: 0,92 euros). El Grupo tenía una plantilla de 82.702 empleados a fecha de 30 de septiembre de 2022 (31 de diciembre de 2021: 82.981).</w:t>
        <w:br/>
        <w:t/>
        <w:br/>
        <w:t>Se confirman las previsiones para la totalidad del ejercicio 2022</w:t>
        <w:br/>
        <w:t/>
        <w:br/>
        <w:t>En su reunión del 2 de noviembre de 2022, el Comité de Dirección de Schaeffler AG confirmó las previsiones basadas en el rendimiento alentador de los nueve primeros meses. Para 2022, el Grupo Schaeffler continúa esperando un crecimiento aproximado del volumen de negocios del 6 al 8%, sin el impacto de los tipos de cambio. Asimismo, la empresa espera generar un margen EBIT antes de efectos especiales entre el 5 y el 7% en 2022. El Grupo Schaeffler también prevé un cash flow disponible antes de las entradas y salidas de fondos para actividades de fusiones y adquisiciones de más de 250 millones de euros para 2022.</w:t>
        <w:br/>
        <w:t/>
        <w:br/>
        <w:t>El Grupo Schaeffler ha generado resultados alentadores en el tercer trimestre en un entorno que sigue siendo difícil. Sobre todo, nuestro negocio de Automotive Aftermarket e Industrial han mostrado un rendimiento convincente con un sólido crecimiento del volumen de negocios y márgenes EBIT elevados antes de efectos especiales. En Automotive Technologies, el aumento de la cartera de pedidos a 4.700 millones de euros en la unidad de negocio e-Mobility subraya de forma impresionante que continuaremos ampliando nuestra posición de mercado en este negocio clave, ha dicho Klaus Rosenfeld, CEO de Schaeffler AG.</w:t>
        <w:br/>
        <w:t/>
        <w:br/>
        <w:t>Se podrán encontrar fotos para prensa del Comité de Dirección aquí: www.schaeffler.com/en/executive-board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