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https://static.comunicae.com/photos/notas/1225230/1621920135_pharmacy.jpg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digitalización de las farmacias, uno de los medios más rentables en plena crisis sanitaria </w:t>
      </w:r>
    </w:p>
    <w:p>
      <w:pPr>
        <w:pStyle w:val="Ttulo2"/>
        <w:rPr>
          <w:color w:val="355269"/>
        </w:rPr>
      </w:pPr>
      <w:r>
        <w:rPr>
          <w:color w:val="355269"/>
        </w:rPr>
        <w:t>Onlypharma se corona en plena pandemia COVID19 como agencia de marketing farmacéutico que ha evitado recurrir a ERTES, incluso ha logrado ampliar su plantilla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Como consecuencia de la crisis sanitaria, provocada por la COVID-19, las farmacéuticas han pasado a colocarse en el primer plano de la actualidad debido al importante papel que han desempeñado y, todavía desempeñan, en la gestión de la pandemia.</w:t>
        <w:br/>
        <w:t/>
        <w:br/>
        <w:t>Junto a esta excepcional situación, es destacable el avance vertiginoso de la digitalización de las boticas. El comercio electrónico ha sido una de las grandes revoluciones informáticas en los últimos años y que, especialmente, ha tomado relevancia con la pandemia, habiendo marcado un antes y un después en los hábitos de compra de la ciudadanía española.</w:t>
        <w:br/>
        <w:t/>
        <w:br/>
        <w:t>Sin embargo, para abrirse camino en Internet, las farmacéuticas ven limitadas sus acciones a la hora de montar sus tiendas online y ponerlas en marcha, dado que existen una serie de procedimientos de calidad, regulaciones y condiciones establecidas por DISTAFARMA a la hora de vender medicamentos sin receta médica. Suponiendo la contratación de profesionales en el sector la opción más certera y fiable a la hora de obtener garantías.</w:t>
        <w:br/>
        <w:t/>
        <w:br/>
        <w:t>Agencias como Onlypharma, especializada en marketing farmacéutico ha sabido adaptarse a las circunstancias, ofreciendo a las boticas todo tipo de alternativas a la hora de dar el salto digital. Tal ha sido su capacidad de adaptación, que ha sabido sortear, sin precedentes, los meses más graves de COVID19, manteniendo e incluso ampliando su plantilla sin necesidad de recurrir a ERTES.</w:t>
        <w:br/>
        <w:t/>
        <w:br/>
        <w:t>Actualmente, Onlypharma cuenta con un equipo de 12 profesionales especializados en diferentes áreas del marketing digital ofreciendo servicios personalizados que se adaptan a las necesidades planteadas por cada uno de sus clientes: Identidad visual, Diseño web/ ecommerce, Gestión con AEMPS para la venta online de medicamentos sin receta, estrategias de marketing digital, Posicionamiento SEO o SEM, redes sociales, gestión de influencers... Además de ofrecer alternativas lúdicas gratuitas con el lanzamiento de Ebooks o Calendarios y planes de marketing que apoyen la estrategia digital de las boticas.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