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Guinea Ecuatorial mantiene conversaciones con la African Energy Chamber abordando las novedades sobre proyectos energéticos durante Covid 19</w:t>
      </w:r>
    </w:p>
    <w:p>
      <w:pPr>
        <w:pStyle w:val="Ttulo2"/>
        <w:rPr>
          <w:color w:val="355269"/>
        </w:rPr>
      </w:pPr>
      <w:r>
        <w:rPr>
          <w:color w:val="355269"/>
        </w:rPr>
        <w:t>La semana pasada, la African Energy Chamber (Cámara Africana de la Energía) mantuvo un encuentro bilateral con el Ministerio de Minas e Hidrocarburos de Guinea Ecuatorial, dirigido por  Gabriel Mbaga Obiang Lima, junto con el Director de Hidrocarburos, Robustiano Eyegue Ndong y NJ Ayuk, Presidente Ejecutivo de la African Energy Chamber</w:t>
      </w:r>
    </w:p>
    <w:p>
      <w:pPr>
        <w:pStyle w:val="LOnormal"/>
        <w:rPr>
          <w:color w:val="355269"/>
        </w:rPr>
      </w:pPr>
      <w:r>
        <w:rPr>
          <w:color w:val="355269"/>
        </w:rPr>
      </w:r>
    </w:p>
    <w:p>
      <w:pPr>
        <w:pStyle w:val="LOnormal"/>
        <w:jc w:val="left"/>
        <w:rPr/>
      </w:pPr>
      <w:r>
        <w:rPr/>
        <w:t>La Cámara trató de analizar y comprender el estado del sector de los hidrocarburos en el país y el Ministro y el Director le informaron sobre los planes inmediatos y a corto plazo del Ministerio.</w:t>
        <w:br/>
        <w:t/>
        <w:br/>
        <w:t>Guinea Ecuatorial ha trasladado su programa del Año de Inversión a 2021, con el objetivo de ampliar la oferta de oportunidades y proyectos de inversión, y teniendo en cuenta los desafíos de Covid-19. Por ejemplo, el Ministerio continúa con su apuesta por el sector minero con un fuerte enfoque en el continente y pretende impulsar nuevos programas en 2021.</w:t>
        <w:br/>
        <w:t/>
        <w:br/>
        <w:t>El Ministro estuvo de acuerdo con la Cámara en que Covid-19 ha sido un gran disruptor para el sector energético. La Cámara insta al gobierno ecuatoguineano a que continúe trabajando con los operadores de petróleo y gas para encontrar formas de garantizar la continuación de las operaciones.</w:t>
        <w:br/>
        <w:t/>
        <w:br/>
        <w:t>El Ministro informó a la Cámara que el rápido desarrollo del proyecto de unificación de Alen operado por Noble Energy se retrasará hasta 2021. Este es un campo prolífico en gas y condensado líquido ubicado en el Bloque O, a unos 32 km de la costa este de la isla de Bioko, en Guinea Ecuatorial. Asimismo, el proyecto de Backfill de gas de Alen en EGLNG sigue en marcha, y está programado que comience en el primer trimestre de 2021.</w:t>
        <w:br/>
        <w:t/>
        <w:br/>
        <w:t>Cuando se le solicitó la aprobación rápida de la adquisición de Noble Energy por parte de Chevron, el Ministro informó a la Cámara que el Ministerio está estudiando la transacción en lo que respecta a Guinea Ecuatorial y responderá a su debido tiempo teniendo en cuenta el cumplimiento de las leyes y regulaciones del país. así como instrumentos legales vinculantes como el Contrato de Producción Compartida.</w:t>
        <w:br/>
        <w:t/>
        <w:br/>
        <w:t>Sobre el Gas Mega Hub, la Cámara fue informada de que Guinea Ecuatorial ha contratado a la firma británica Gas Strategies para continuar trabajando en una revisión del Plan Maestro de Gas, ya que el Ministro cree que es un paso importante para que el país desarrolle un plan adecuado a las condiciones del país, económico y equitativo para monetizar el gas y con una visión clara de tener un Gas Mega Hub en el entorno de Punta Europa.</w:t>
        <w:br/>
        <w:t/>
        <w:br/>
        <w:t>La Cámara está de acuerdo en la importancia del desarrollo del gas, ya que el GNL puede cambiar las reglas del juego en los mercados energéticos locales, regionales e internacionales. También pone a Guinea Ecuatorial en línea con otros miembros del Foro de Países Exportadores de Gas, del cual Guinea Ecuatorial es miembro, a la hora de monetizar el gas.</w:t>
        <w:br/>
        <w:t/>
        <w:br/>
        <w:t>Adicionalmente, el Ministro informó que la actividad de exploración sigue en curso en el país, y que Kosmos Energy probablemente continuará con una campaña de perforación en 2022. Además, Trident Energy inició un estudio sísmico 4D sobre sus activos del Bloque G, que contienen los campos de Ceiba y Okume en alta mar con potencial para perforar tres pozos en 2021.</w:t>
        <w:br/>
        <w:t/>
        <w:br/>
        <w:t>Finalmente, el Ministerio confirmó que continua en conversaciones con la empresa estatal venezolana PDVSA sobre el sector upstream y downstream.</w:t>
        <w:br/>
        <w:t/>
        <w:br/>
        <w:t>Guinea Ecuatorial es un importante actor en el sector del petróleo y gas y continúa siendo un gran socio para avanzar en las relaciones con los inversores al tiempo que promueve el contenido local. La Cámara acoge positivamente este diálogo y sigue comprometida a desarrollar más encuentros con los líderes energéticos africanos porque son de vital importancia para el sector privado . dijo NJ Ayuk.</w:t>
        <w:br/>
        <w:t/>
        <w:br/>
        <w:t>La African Energy Chamber, con el apoyo de las principales compañías de energía, confía en que al trabajar juntos, aseguraremos oportunidades beneficiosas para todos, así como también nos comprometeremos con franqueza con los gobiernos africanos. Estas conversaciones francas y sin restricciones sobre nuestra industria energética pueden guiar a los gobiernos africanos a crear un entorno propicio que sea efectivo tanto para inversores como para ciudadanos concluyó Ayuk.</w:t>
        <w:br/>
        <w:t/>
        <w:br/>
        <w:t>La African Energy Chamber mantiene periódicamente conversaciones bilaterales con gobiernos e instituciones sobre cuestiones energéticas en África. Estas discusiones son importantes para que los líderes e inversores participen en encuentros sobre los temas económicos y comerciales más relevantes, incluida la inversión en petróleo y gas, desarrollo de infraestructura, contenido local y políticas habilitadoras que mejoren las operaciones en 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Johannesburg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