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https://static.comunicae.com/photos/notas/1211114/1578651400_Burdinola.JPG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Burdinola adquiere el 49% de Burdinola Benelux SRL y se hace con el control del 100% de la filial belga</w:t>
      </w:r>
    </w:p>
    <w:p>
      <w:pPr>
        <w:pStyle w:val="Ttulo2"/>
        <w:rPr>
          <w:color w:val="355269"/>
        </w:rPr>
      </w:pPr>
      <w:r>
        <w:rPr>
          <w:color w:val="355269"/>
        </w:rPr>
        <w:t>Da así un paso más en su estrategia de internacionalización y sus objetivos de crecimiento con la adquisición del 100% de la filial creada en 2017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filial mantiene desde su creación una línea de trabajo en sintonía con la estrategia global de Burdinola, centrada en su posicionamiento en laboratorios seguros y enfocada a la captación de grandes proyectos.</w:t>
        <w:br/>
        <w:t/>
        <w:br/>
        <w:t>Las previsiones de crecimiento para la filial de cara a los próximos años se mantienen positivas. Cuentanya con una interesante cartera de pedidos en clientes y sectores de primer nivel, como es el caso de UCB pharma (la principal compañía farmacéutica belga) o Dow Chemical Company, entre otros.</w:t>
        <w:br/>
        <w:t/>
        <w:br/>
        <w:t>Con nuestra filial belga buscamos posicionarnos como líder en un mercado/área en el que tenemos buenas previsiones de crecimiento y afianzar nuestro liderazgo en Europa siendo líderes en los países europeos con presencia. En este sentido, creemos que nuestra especialización en laboratorios seguros aporta diferenciación y valor añadido a nuestra propuesta técnica. afirma Mikel Martínez, CEO de Burdinola.</w:t>
        <w:br/>
        <w:t/>
        <w:br/>
        <w:t>Burdinola Benelux se suma a la red de filiales de Burdinola, ubicadas en Francia, Italia, Reino Unido y EAU (Dubai). Se completa con delegaciones en México, Perú y Colombia, además de una amplia presencia comercial en España con 5 delegaciones.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Amoroto (Bizkaia)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