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https://static.comunicae.com/photos/notas/1210535/1576161487_De_izq_a_dcha_Juan_Manuel_Vega_Jos_Antonio_S_nchez_Francisco_Jos_L_pez_y_Juan_Pujol.jpg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CEF.- y Lefebvre celebran una jornada de prevención del blanqueo de capitales y financiación del terrorismo</w:t>
      </w:r>
    </w:p>
    <w:p>
      <w:pPr>
        <w:pStyle w:val="Ttulo2"/>
        <w:rPr>
          <w:color w:val="355269"/>
        </w:rPr>
      </w:pPr>
      <w:r>
        <w:rPr>
          <w:color w:val="355269"/>
        </w:rPr>
        <w:t>El CEF.- y Lefebvre Formación reúnen a más de un centenar de profesionales del sector para analizar y debatir sobre las mejores prácticas para prevenir el blanqueo de capitales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CEF.- y Lefebvre han celebrado hoy una jornada sobre prevención del blanqueo de capitales y de la financiación del terrorismo, para dar a conocer las novedades normativas y las implicaciones de su cumplimiento en esta materia, a la que han asistido más de un centenar de profesionales y expertos del sector que han podido compartir sus experiencias.</w:t>
        <w:br/>
        <w:t/>
        <w:br/>
        <w:t>La jornada, inaugurada por José Antonio Sánchez, director de estudios del CEF.- y Juan Pujol, presidente de Lefebvre, con un enfoque práctico y dirigida al networking, ha tenido lugar en el Auditorio Banco Sabadell y ha contado con la intervención de Juan Manuel Vega Serrano, director del SEPBLAC; Raquel Cabeza Pérez, directora de PWC; José Manuel de Alarcón, inspector de Hacienda y jefe de la ONIF (Oficina Nacional de Investigación del Fraude de la Agencia Tributaria); Ignacio Alberich Medina, analista del Órgano Centralizado de Blanqueo de Capitales del Notariado; Luis Rubí Blanc, socio director en Rubí Blanc Abogados; y Francisco José López, director académico de la jornada.</w:t>
        <w:br/>
        <w:t/>
        <w:br/>
        <w:t>Juan Manuel Vega Serrano, director del SEPBLAC, ha destacado que el nivel de cumplimiento de las sociedades españolas es sustancial y ha señalado que aunque la prevención tiene costes, produce un efecto reputacional en el sector. Durante su intervención, ha compartido las recomendaciones del SEPBLAC y los objetivos de un buen sistema de control interno: gestionar los riesgos adecuadamente, mediante un buen análisis, prevenir el delito y mejorar la calidad de la comunicación. Vega ha declarado que en España tenemos un sistema robusto pero es necesario realizar un análisis global y evitar la criminalidad financiera; que no solo se detecten los casos sino que los expulsen.</w:t>
        <w:br/>
        <w:t/>
        <w:br/>
        <w:t>A continuación, Raquel Cabeza Pérez, directora de PWC, se ha referido a las novedades legislativas en materia de prevención del blanqueo de capitales, incluyendo la adaptación a la quinta directiva, y ha señalado que el camino a seguir es un mayor control y atención, así como la creación de un nuevo supervisor en el ámbito europeo, que debería controlar la actividad crossborder. Y añadía: Hay que tender a una mayor armonización y supervisión. En España tenemos un buen nivel, pero para otros países supone un cambio de cultura importante por la aparición de sanciones.</w:t>
        <w:br/>
        <w:t/>
        <w:br/>
        <w:t>Por su parte, José Manuel de Alarcón Estella, inspector de Hacienda y jefe de la ONIF, se ha referido al papel de las nuevas tecnologías, como las criptomonedas y el blockchain, y su utilización como instrumentos de fraude y blanqueo de capitales. Según señalaba, la única ventaja que aporta el bitcoin respecto al euro o monedas tradicionales es que es anónima, por eso las novedades normativas van encaminadas a evitar ese anonimato. Además, ha explicado que este anonimato también puede suponer una desventaja, al no poder justificar una titularidad, pérdida o ganancia, ante Hacienda, y ha recordado que la rapidez en la detección del fraude es fundamental para reducir su alcance.</w:t>
        <w:br/>
        <w:t/>
        <w:br/>
        <w:t>Tras el descanso, Ignacio Alberich Medina, analista del Órgano Centralizado de Blanqueo de Capitales del Notariado, hablaba sobre las bases de datos de titularidad real.</w:t>
        <w:br/>
        <w:t/>
        <w:br/>
        <w:t>Luis Rubí Blanc, socio director en Rubí Blanc Abogados se refirió a las nuevas obligaciones registrales, en relación a los profesionales, sociedades mercantiles e instrumentos de patrimonio, así como a la problemática de los prestadores de servicios a sociedades como sujetos obligados.</w:t>
        <w:br/>
        <w:t/>
        <w:br/>
        <w:t>Por último, Francisco José López Ruiz, socio director de Apreblanc Asesores, expuso los últimos cambios normativos y las implicaciones prácticas en los sujetos obligados.</w:t>
        <w:br/>
        <w:t/>
        <w:br/>
        <w:t>Las claves de la normativa, recogidas en el Memento de Lefebvre</w:t>
        <w:br/>
        <w:t/>
        <w:br/>
        <w:t>Las principales claves del régimen jurídico nacional e internacional que regula esta materia aparecen recogidas de forma completa y exhaustiva en el nuevo Memento Prevención del Blanqueo de Capitales y la Financiación del Terrorismo de Lefebvre, disponible en la tienda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