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https://static.comunicae.com/photos/notas/1196209/1528192616_Repara_tu_deuda.png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3 insolventes se acogen a la Ley de la Segunda Oportunidad en Ceuta</w:t>
      </w:r>
    </w:p>
    <w:p>
      <w:pPr>
        <w:pStyle w:val="Ttulo2"/>
        <w:rPr>
          <w:color w:val="355269"/>
        </w:rPr>
      </w:pPr>
      <w:r>
        <w:rPr>
          <w:color w:val="355269"/>
        </w:rPr>
        <w:t>Dos de estos casos los ha tramitado Repara tu Deuda, obteniendo el 100% de éxito en los casos finalizados con la cancelación de la deuda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Durante el periodo (desde junio de 2016 a junio de 2018) 3 personas insolventes de Ceuta se han acogido a la Ley de la Segunda Oportunidad, que brinda la posibilidad de exonerar las deudas contraídas y empezar de cero. Del total de casos tramitados en esta comunidad, dos los ha llevado a cabo Repara tu Deuda, primera compañía que aplica la Ley de la Segunda Oportunidad en España.</w:t>
        <w:br/>
        <w:t/>
        <w:br/>
        <w:t>La Ley de la Segunda Oportunidad permite exonerar a particulares y autónomos del pago de deuda a acreedores siempre que se demuestre que previamente han actuado de buena fe e intentado un acuerdo con los acreedores para aplazar la deuda, fijar un calendario de pago inferior a diez años o pagarla mediante la cesión de bienes. Si no se logra dicho acuerdo, pueden solicitar un concurso de acreedores con la mediación de un juez y solicitar ante el tribunal la exoneración de la deuda parcial o total.</w:t>
        <w:br/>
        <w:t/>
        <w:br/>
        <w:t>Gracias a esta legislación -explican los responsables de la compañía- muchas familias en nuestro país vuelven a tener esperanza e ilusión. Es muy satisfactorio poder ayudar a alguien que acude a nuestras oficinas en una situación de desamparo total y devolverle las ganas de emprender nuevos proyectos.</w:t>
        <w:br/>
        <w:t/>
        <w:br/>
        <w:t>Repara tu Deuda empezó su andadura el mismo año que la legislación entró en vigor en nuestro país, en 2015. Repara tu Deuda ha realizado más del 80% de todos los casos presentados en España el último año y su previsión es entregar 900 más en 2018. Todos los casos gestionados por la compañía han tenido el 100% de éxito hasta el momento.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Ceuta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2018-07-10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