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https://static.comunicae.com/photos/notas/1192134/1513768470_Bill_Derrenger.jpg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Osborne ficha a Bill Derrenger como Director General</w:t>
      </w:r>
    </w:p>
    <w:p>
      <w:pPr>
        <w:pStyle w:val="Ttulo2"/>
        <w:rPr>
          <w:color w:val="355269"/>
        </w:rPr>
      </w:pPr>
      <w:r>
        <w:rPr>
          <w:color w:val="355269"/>
        </w:rPr>
        <w:t>Este fichaje se enmarca dentro de la estrategia de la compañía de fortalecimiento e internacionalización de sus marcas estratégicas.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Osborne anuncia la incorporación de Bill Derrenger como Director General.</w:t>
        <w:br/>
        <w:t/>
        <w:br/>
        <w:t>Bill Derrenger es norteamericano, tiene 50 años, es Licenciado en Ciencias Económicas por la Universidad de Chicago, cuenta con distintos cursos de postgrado en instituciones como IESE, ISDI e Instituto San Telmo, y tiene una larga trayectoria como ejecutivo en diversas compañías multinacionales. Entre otras responsabilidades, ha sido Vicepresidente de Clear Channel para el Sur de Europa, Director General de Prisa Brand Solutions y Presidente de la filial de Kelloggs en España. Además, es Vicepresidente y Consejero de la Fundación Prodis.</w:t>
        <w:br/>
        <w:t/>
        <w:br/>
        <w:t>Este fichaje se enmarca dentro de la estrategia de la compañía de fortalecimiento e internacionalización de sus marcas estratégicas. Bill Derrenger se incorporará a Osborne con fecha 2 de enero de 2018, asumirá la responsabilidad sobre todas las áreas del negocio, y reportará directamente a Fernando Terry Osborne, Consejero Delegado de la compañía.</w:t>
        <w:br/>
        <w:t/>
        <w:br/>
        <w:t>Acerca de Osborne </w:t>
        <w:br/>
        <w:t/>
        <w:br/>
        <w:t>La compañía española Osborne -propietaria de marcas de renombre internacional como el jamón de bellota 100% ibérico Cinco Jotas, el vino de Rioja Montecillo, el brandy Carlos I, Veterano, Magno, la ginebra Nordés y Anís del Mono, entre muchas otras- tiene un objetivo claro: seleccionar, elaborar y acercar a consumidores en todo el mundo los productos y marcas de alimentación y bebidas de mayor autenticidad y prestigio. Desde su origen en 1772, Osborne ha mantenido su apuesta por la máxima calidad, la innovación y la internacionalización. Actualmente, está presente con sus distintas marcas en más de 50 países.</w:t>
        <w:br/>
        <w:t/>
        <w:br/>
        <w:t>La compañía complementa su negocio de elaboración y comercialización de sus propias marcas con la actividad de distribución en España de importantes marcas de terceros como Brockmans Gin, Fever-Tree, Whisky 100 Pipers y Passport Scotch Whisky. Así mismo, Osborne es la propietaria de la mítica imagen del Toro de Osborne, sin lugar a dudas uno de los símbolos más representativos de España en el mundo. Las más de 90 enormes vallas metálicas se sitúan estratégicamente en las principales carreteras españolas y son reconocidas internacionalmente como uno de los grandes iconos de la historia de la publicidad.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El Puerto de Santa María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