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COMUNICACION OLFATIVA-HERRAMIENTAS DE MARKETING</w:t>
      </w:r>
    </w:p>
    <w:p>
      <w:pPr>
        <w:pStyle w:val="Ttulo2"/>
        <w:rPr>
          <w:color w:val="355269"/>
        </w:rPr>
      </w:pPr>
      <w:r>
        <w:rPr>
          <w:color w:val="355269"/>
        </w:rPr>
        <w:t>Soluciones innovadoras en marketing olfativo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Comunicación olfativa. Innovadoras herramientas al servicio del profesional del marketing y la publicidad. Esta es la propuesta de Le Caprice Difusión, consultoría pionera en España en el ámbito del tratamiento integral del marketing olfativo.</w:t>
        <w:br/>
        <w:t/>
        <w:br/>
        <w:t>Su oferta abarca: Diseño y creación de identidad olfativa, publicidad directa perfumada, merchandising aromático, packaging olfativo, ambientación de espacios, PLV.</w:t>
        <w:br/>
        <w:t/>
        <w:br/>
        <w:t>El olfato es el sentido con mayor poder de evocación, íntimamente relacionado con la memoria y el mundo de las emociones. Es por ello que las propuestas de Le Caprice Difusión consiguen generar un impacto ineludible y sorprendente en el consumidor.</w:t>
        <w:br/>
        <w:t/>
        <w:br/>
        <w:t>http://www.lecaprice.es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2007-06-07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