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confianza empresarial en Canarias registra en el cuarto trimestre de 2013 una subida del 9,2% respecto al tercero</w:t>
      </w:r>
    </w:p>
    <w:p>
      <w:pPr>
        <w:pStyle w:val="Ttulo2"/>
        <w:rPr>
          <w:color w:val="355269"/>
        </w:rPr>
      </w:pPr>
      <w:r>
        <w:rPr>
          <w:color w:val="355269"/>
        </w:rPr>
        <w:t>Este incremento ha sido superior al registrado en el índice nacional, que fue del 3,4%. Con respecto al resto de comunidades autónomas, Canarias se sitúa como la primera comunidad en aumento de la confianza empresarial.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17,2% de los gestores de los establecimientos canarios considera que la marcha de su negocio será favorable en el cuarto trimestre de 2013, mientras que el 35,9% piensa que será desfavorable. El balance de expectativas, calculado como la diferencia entre el porcentaje de respuestas favorables y desfavorables, se sitúa en -18,7 puntos, mejorando los -31,3 del trimestre anterior.</w:t>
        <w:br/>
        <w:t/>
        <w:br/>
        <w:t>En lo que respecta a la marcha de su negocio en el tercer trimestre de 2013, el 15,1% de los gestores ha tenido una opinión favorable. Por otra parte, el 38,6% ha opinado de forma desfavorable, lo que hace que el balance de situación, calculado análogamente al de expectativas, tome el valor -23,5, mejorando también los -40,9 puntos del trimestre anterior.</w:t>
        <w:br/>
        <w:t/>
        <w:br/>
        <w:t>Por islas, la confianza empresarial respecto al tercer trimestre de 2013 ha experimentado los mayores aumentos en Fuerteventura (14,7%), Tenerife (10,5%) y Gran Canaria (10,0%). Por otra parte, los menores aumentos han sido del 1,6% en La Palma y del 2,6% en El Hierro. En cuanto a sectores de actividad, los mayores incrementos han sido del 13,7% en el sector del transporte y hostelería y del 11,8% en el comercio, mientras que el menor se ha producido en la industria (3,4%).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