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MotoSpirit ETSEIAT inicia su actividad</w:t></w:r></w:p><w:p><w:pPr><w:pStyle w:val="Ttulo2"/><w:rPr><w:color w:val="355269"/></w:rPr></w:pPr><w:r><w:rPr><w:color w:val="355269"/></w:rPr><w:t>El grupo se ha puesto en marcha para crear una estructura de equipo permanente</w:t></w:r></w:p><w:p><w:pPr><w:pStyle w:val="LOnormal"/><w:rPr><w:color w:val="355269"/></w:rPr></w:pPr><w:r><w:rPr><w:color w:val="355269"/></w:rPr></w:r></w:p><w:p><w:pPr><w:pStyle w:val="LOnormal"/><w:jc w:val="left"/><w:rPr></w:rPr></w:pPr><w:r><w:rPr></w:rPr><w:t>MotoSpirit ha empezado a establecer la estructura necesaria para que su escuela, la ETSEIAT (Escola Tècnica Superior dEnginyeries Industrial i Aeronàutica de Terrassa), de la UPC (Universitat Politècnica de Catalunya) tenga, por primera vez, representación en la competición internacional universitaria Motostudent.</w:t><w:br/><w:t></w:t><w:br/><w:t>Los ocho estudiantes de ingeniería industrial que han fundado el equipo y que participan en la III Edición de Motostudent, tienen además el compromiso de darle una continuidad al proyecto y tener así un equipo de motocicletas de competición permanente en la escuela, en el que los futuros ingenieros industriales y aeronáuticos puedan participar en un proyecto real de competición antes de dar el salto definitivo al mundo laboral.</w:t><w:br/><w:t></w:t><w:br/><w:t>MotoSpirit está constituido como una asociación sin ánimo de lucro, con el fin disponer de un CIF y poder operar como entidad legal ubicada dentro de la universidad.</w:t><w:br/><w:t></w:t><w:br/><w:t>El equipo se estructura por departamentos técnicos, donde cada miembro del grupo realiza las tareas de diseño y fabricación de las diferentes partes de la moto: divididos por el departamento de bastidor, horquilla, basculante, motor y carenado; coordinados y supervisados por un director técnico. Paralelamente, se han creado otros departamentos para todas aquellas tareas no técnicas, como son el departamento de relaciones externas, contabilidad, administración, y comunicación&marketing.</w:t><w:br/><w:t></w:t><w:br/><w:t>Desde el departamento de relaciones externas se ha creado una lista de empresas interesadas en el proyecto, para conseguir recursos y sinergias entre estas, el equipo y la universidad.</w:t><w:br/><w:t></w:t><w:br/><w:t>Los departamentos de contabilidad y administración son los encargados de administrar y gestionar los recursos del equipo correctamente.</w:t><w:br/><w:t></w:t><w:br/><w:t>El departamento de comunicación&marketing se encarga de la imagen corporativa del grupo, de su difusión en los medios y de la actualización permanente del estado del proyecto en las redes sociales.</w:t><w:br/><w:t></w:t><w:br/><w:t>Se ha lanzado el cartel publicitario del equipo con el objetivo de darse a conocer dentro y fuera de la universidad, conseguir así un número mayor de apoyos y hacer que entre todos, el proyecto salga adelante.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