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ecoindustria vasca tiene un buena oportunidad en el sector del agua</w:t>
      </w:r>
    </w:p>
    <w:p>
      <w:pPr>
        <w:pStyle w:val="Ttulo2"/>
        <w:rPr>
          <w:color w:val="355269"/>
        </w:rPr>
      </w:pPr>
      <w:r>
        <w:rPr>
          <w:color w:val="355269"/>
        </w:rPr>
        <w:t>Desde hace unos meses ACLIMA trabaja en el proyecto URA, cuyo objetivo es la mejora de la competitividad y posicionamiento internacional de las pymes vascas, pertenecientes a la cadena de valor del agua, através de la identificación y puesta en valor de nuevas oportunidades de negocio. Como parte de este proyecto se está analizando la cadena de valor del agua, identificando a los agentes que la componen en el País Vasco y estudiando las actividades de las empresas del sector. Para ello se trabaja mano a ma</w:t>
      </w:r>
    </w:p>
    <w:p>
      <w:pPr>
        <w:pStyle w:val="LOnormal"/>
        <w:rPr>
          <w:color w:val="355269"/>
        </w:rPr>
      </w:pPr>
      <w:r>
        <w:rPr>
          <w:color w:val="355269"/>
        </w:rPr>
      </w:r>
    </w:p>
    <w:p>
      <w:pPr>
        <w:pStyle w:val="LOnormal"/>
        <w:jc w:val="left"/>
        <w:rPr/>
      </w:pPr>
      <w:r>
        <w:rPr/>
        <w:t>Oportunidades y Factores Competitivos para las empresas del Sector del Agua</w:t>
        <w:br/>
        <w:t/>
        <w:br/>
        <w:t>En su trabajo con los participantes del mundo empresarial e institucional relacionados con el agua, Aclima, se confirma que se trata de un sector con amplio margen de crecimiento. Si bien es cierto que a nivel de construcción de grandes infraestructuras la situación de crisis actual de los mercados locales y europeos desplaza este tipo de inversiones principalmente hacia los países BRIC y destacadamente a Latinoamérica, entre otros.</w:t>
        <w:br/>
        <w:t/>
        <w:br/>
        <w:t>Algunas conclusiones destacables del trabajo en común realizado hasta la fecha son: el interés mostrado por las empresas del sector en crear, desde ACLIMA, un grupo de trabajo sobre AGUAS para abordar en colaboración y cooperación las oportunidades de este mercado potencial y por otro lado la importancia de la internacionalización por las claras opciones de negocio en el exterior y el reducido mercado local de este sector.</w:t>
        <w:br/>
        <w:t/>
        <w:br/>
        <w:t>Así mismo, para las empresas se destacaron como clave de oportunidad, las áreas de ahorro y uso eficiente del agua, tanto de consumo, como en la industria y en la agricultura, y todo ello muy vinculado con el uso y desarrollo de nuevas tecnologías. También lahuella ecológica, en este caso vinculada al agua, como generador de un campo de oportunidad para las empresas que trabajen en la reducción de la huella hídrica. Indicador del consumo de agua anual per capita. No hay que olvidar, que España se sitúa entre los 15 países con la huella hídrica más alta del mundo. Las empresas que desarrollen, implanten o trabajen en el campo de su reducción, se encuentran ante un mercado incipiente con un elevadísimo potencial de crecimiento. Las mejoras tecnológicas orientadas al ahorro del consumo de agua en la industria, pueden lograr con facilidad descensos en dichos consumos de hasta 25-30%, con los consiguientes ahorros de los costes de producción. En todos los casos con periodos de amortización de menos de 10 años, según los estudios consultados.</w:t>
        <w:br/>
        <w:t/>
        <w:br/>
        <w:t>A nivel europeo la información reunida señala la oportunidad de futuro en la regularización de la demanda y la necesidad de implementar políticas de regulación de la misma. Respecto a Euskadi, y dejando a un lado las inversiones de la administración en construcción de infraestructuras públicas, se está constatando, que la verdadera oportunidad se encuentra en la gestión y análisis de datos de la red secundaria de abastecimiento de agua potable.</w:t>
        <w:br/>
        <w:t/>
        <w:br/>
        <w:t>El agua es el centro del desarrollo sostenible y a partir de Río 20 se considera como un Derecho Humano, lo que contribuye a la implicación de los gobiernos en su gestión y distribución a todos los habitantes.</w:t>
        <w:br/>
        <w:t/>
        <w:br/>
        <w:t>La cantidad de agua total existente en la tierra lleva sin cambiar desde hace más de 2.000 millones de años, y sólo el 0.007% del agua existente es potable. Esa cantidad se reduce año tras año debido a la contaminación. Por ello crece año a año la inversión no solo en asegurar el abastecimiento sino en la gestión inteligente del recurso y en asegurar su buen estado ecológico. </w:t>
        <w:br/>
        <w:t/>
        <w:br/>
        <w:t>Como ha apuntado esta mañana en el desayuno de trabajo, Dña. Begoña Gartzia de Bikuña, Directora Técnica de ANBIOTEK, S.L., la gestión del agua se convertirá enuno de los negocios más estratégicosdel siglo XXI. La necesidad propulsa la innovación como ningún otro incentivo. Desde las grandes empresas especializadas en gestionar agua o construir equipamiento para grandes infraestructuras hídricas, hasta firmas que empiezan con pocos recursos, a menudo con un pie en la universidad y otro en el sector privado, el agua competirá con la energía y el transporte por un lugar central en el sector de las tecnologías verdes.</w:t>
        <w:br/>
        <w:t/>
        <w:br/>
        <w:t>En la cita también ha estado presente, D. Pedro Mª Barreiro Zubiri, Dir. General del Consorcio de Aguas de Bizkaia, que además de citar las inversiones previstas en grandes infraestructuras hidráulicas para los próximos años, cita como área de potencial interés empresarial lo que se denomina inteligencia del agua que abarca todo tipo de sistemas de monitorización y control experto de las distintos niveles de redes de abastecimiento y saneamiento. No solo la innovación en los aparatos de lectura y control, sino en el análisis y seguimiento de los datos obtenidos.</w:t>
        <w:br/>
        <w:t/>
        <w:br/>
        <w:t>También se ha constatado que el avance de la normativa supone nuevas oportunidades empresariales. Y de cara al consumidor, que tendrá que asimilar que el precio del agua puesta en casa y el coste de su gestión posterior lo tenemos que pagar los usuarios, y así lo recoge la normativa marco del agua a nivel europeo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