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ministro de inversiones de Indonesia se reúne con empresarios españoles</w:t>
      </w:r>
    </w:p>
    <w:p>
      <w:pPr>
        <w:pStyle w:val="Ttulo2"/>
        <w:rPr>
          <w:color w:val="355269"/>
        </w:rPr>
      </w:pPr>
      <w:r>
        <w:rPr>
          <w:color w:val="355269"/>
        </w:rPr>
        <w:t>Se trata de un encuentro para dar a conocer las posibilidades de inversión en ese país del Sudeste Asiático. Indonesia supone una buena oportunidad de inversión para las compañías, con grandes recursos energéticos, minerales, forestales y pesqueros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día 8 de marzo, el ministro de inversiones de Indonesia, doctor Muhamad Chatib Basri, se reúne en Madrid con empresarios españoles. Estará acompañado de la embajadora de Indonesia en España, Doña Adiyatwidi Adiwoso Asmady.</w:t>
        <w:br/>
        <w:t/>
        <w:br/>
        <w:t>Se trata de un encuentro en el que el ministro informará de las oportunidades de inversión que ofrece Indonesia, tanto a aquellas empresas que ya tienen intereses en ese país como a otras grandes compañías que podrían decidir expandirse.</w:t>
        <w:br/>
        <w:t/>
        <w:br/>
        <w:t>La reunión con los empresarios tendrá lugar a las 10.00 horas en el hotel Intercontinental (Paseo de la Castellana 49, Madrid). A continuación, el ministro atenderá a la prensa invitada. Después de este encuentro, viajará a Barcelona, donde tiene previstas otras reuniones con empresarios catalanes.</w:t>
        <w:br/>
        <w:t/>
        <w:br/>
        <w:t>En plena crisis económica en España, el encuentro cobra especial relevancia, al abrir posibles vías de expansión a las empresas nacionales.</w:t>
        <w:br/>
        <w:t/>
        <w:br/>
        <w:t>Según datos del ICEX, Indonesia es la economía de mayor tamaño, por PIB y por población, del grupo de naciones situadas en el Sudeste Asiático, pero es además un país con grandes recursos energéticos (gas, carbón y geotérmicos), minerales (cobre, estaño, bauxita, níquel, oro, entre otros), forestales y pesqueros.</w:t>
        <w:br/>
        <w:t/>
        <w:br/>
        <w:t>Su potencial de crecimiento es de los más elevados de Asia, con un crecimiento anual igual o superior al 6% que va a permitir absorber empleo y reducir los niveles de pobreza. En materia de infraestructuras sigue registrándose un importante déficit, lo que constituye una fuente de oportunidades de negocio para la exportación e inversión españolas.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