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BME preve recuperar volumenes a partir de feb tras prohibicion cortos</w:t>
      </w:r>
    </w:p>
    <w:p>
      <w:pPr>
        <w:pStyle w:val="Ttulo2"/>
        <w:rPr>
          <w:color w:val="355269"/>
        </w:rPr>
      </w:pPr>
      <w:r>
        <w:rPr>
          <w:color w:val="355269"/>
        </w:rPr>
        <w:t>Bolsas y Mercados Espaoles SA (BME.MC) espera que los volumenes de la bolsa se recuperen a partir de febrero, tras caer notablemente en los ultimos seis meses por la prohibicion de las ventas en corto de valores financieros.</w:t>
      </w:r>
    </w:p>
    <w:p>
      <w:pPr>
        <w:pStyle w:val="LOnormal"/>
        <w:rPr>
          <w:color w:val="355269"/>
        </w:rPr>
      </w:pPr>
      <w:r>
        <w:rPr>
          <w:color w:val="355269"/>
        </w:rPr>
      </w:r>
    </w:p>
    <w:p>
      <w:pPr>
        <w:pStyle w:val="LOnormal"/>
        <w:jc w:val="left"/>
        <w:rPr/>
      </w:pPr>
      <w:r>
        <w:rPr/>
        <w:t/>
        <w:br/>
        <w:t/>
        <w:br/>
        <w:t>MADRID (EFE Dow Jones)--Bolsas y Mercados Españoles SA (BME.MC) espera que los volúmenes de la bolsa española se recuperen a partir de febrero, tras caer notablemente en los últimos seis meses por la prohibición de las ventas en corto de valores financieros. Ha habido una disminución de la liquidez y un deterioro de la formación de los precios como consecuencia de esta medida, dijo el jueves Antonio Zoido, presidente de BME, que espera que la normalización de los volúmenes siga el patrón de otros mercados como Francia e Italia, donde también se levantó recientemente la suspensión de las ventas en corto. Ante la mejoría de las condiciones del mercado, la Comisión Nacional del Mercado de Valores puso fin el 16 de febrero a la prohibición de este tipo de transacciones, que permiten a los inversores vender acciones prestadas con la esperanza de que los precios caerán para recomprarlas después a un precio más bajo. A partir del 15 de febrero deberíamos llenar este gap, dijo Javier Hernani, director financiero de BME. El volumen negociado en renta variable en la bolsa española descendió un 30% en los dos primeros meses de 2012, el mismo porcentaje que en el cuarto trimestre del año pasado. La unidad de negocio más perjudicada por la imposición de la restricción fue la de derivados, cuyos ingresos cayeron un 19% en el cuarto trimestre, en un contexto de volúmenes más bajos en las bolsas mundiales. Tras el fracaso de la fusión entre Deutsche Boerse AG (DB1.XE) y NYSE Euronext (NYX), Zoido dijo que espera mantener su línea de colaboración con el operador bursátil alemán, con el que tiene alianzas estratégicas como Link Up Markets, una sociedad conjunta para mejorar la eficiencia y reducir los costes de liquidación de las operaciones de valores transfronterizas en Europa, o como Infobolsa, una compañía de difusión de información de mercados participada al 50% por ambos operadores. No obstante, no descartó participar en operaciones de consolidación dentro del sector, aunque cree que las fusiones entre bolsas siempre tienen dificultades para salir adelante. Son instituciones complejas que tienen, más allá de su papel económico, otra serie de connotaciones, pero todo puede pasar siempre, dijo Zoido. Por otra parte, BME cifró en entre un 3% y un 3,5% la cuota de mercado alcanzada hasta ahora por las plataformas alternativas en España, un avance que está apoyado, según los directivos de BME, por promociones comerciales extremas en las que cobran costes muy pequeños. -Por Carlos López Perea, EFE Dow Jones, 34 91-395-81-22, carlos.perea@dowjones.com </w:t>
        <w:br/>
        <w:t/>
        <w:br/>
        <w:t>Artículo publicado en Renta 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Renta 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