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inversin inmobiliaria retrocedi un 41% en Espaa durante 2011, segn BNP Paribas RE</w:t>
      </w:r>
    </w:p>
    <w:p>
      <w:pPr>
        <w:pStyle w:val="Ttulo2"/>
        <w:rPr>
          <w:color w:val="355269"/>
        </w:rPr>
      </w:pPr>
      <w:r>
        <w:rPr>
          <w:color w:val="355269"/>
        </w:rPr>
        <w:t>El bajo rendimiento de la economa ha determinado el descenso de la inversin en inmuebles terciarios en Espaa durante 2011, que incorpor una reduccin del 41% anual, segn los datos de la consultora BNP Paribas Real Estate.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bajo rendimiento de la economía ha determinado el descenso de la inversión en inmuebles terciarios en España durante 2011, que incorporó una reducción del 41% anual, según los datos de la consultora BNP Paribas Real Estate. A lo largo del pasado ejercicio, se fue observando cómo los inversores inmobiliarios incrementaban su aversión al riesgo conforme empeoraban los indicadores sobre consumo y producción.</w:t>
        <w:br/>
        <w:t/>
        <w:br/>
        <w:t>Artículo publicado en ASPRIMA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ASPRIMA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