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Fabra asiste a la inauguración de CEVISAMA 2012 </w:t>
      </w:r>
    </w:p>
    <w:p>
      <w:pPr>
        <w:pStyle w:val="Ttulo2"/>
        <w:rPr>
          <w:color w:val="355269"/>
        </w:rPr>
      </w:pPr>
      <w:r>
        <w:rPr>
          <w:color w:val="355269"/>
        </w:rPr>
        <w:t>El President de la Generalitat, Alberto Fabra, ha asistido a la inauguración de CEVISAMA 2012,  que cumple 30 años en esta edición, y se consolida como uno de los Salones Internacionales de la Ceràmica màs importantes del mundo.
Fabra ha manifestado q</w:t>
      </w:r>
    </w:p>
    <w:p>
      <w:pPr>
        <w:pStyle w:val="LOnormal"/>
        <w:rPr>
          <w:color w:val="355269"/>
        </w:rPr>
      </w:pPr>
      <w:r>
        <w:rPr>
          <w:color w:val="355269"/>
        </w:rPr>
      </w:r>
    </w:p>
    <w:p>
      <w:pPr>
        <w:pStyle w:val="LOnormal"/>
        <w:jc w:val="left"/>
        <w:rPr/>
      </w:pPr>
      <w:r>
        <w:rPr/>
        <w:t/>
        <w:br/>
        <w:t/>
        <w:br/>
        <w:t>Así, el Jefe del Consell ha recordado que el carácter emprendedor e innovador de la Comunitat ha convertido esta feria en un referente internacional y ha apostado por logar que esta sea nuestra tarjeta de presentación, calidad, diseño e innovación, que nos hagan distinguirnos del resto.</w:t>
        <w:br/>
        <w:t/>
        <w:br/>
        <w:t>El President también ha destacado que cada año han ido aumentando los expositores de esta feria y que este año suman ya 780 expositores directos y son más de 550 los que participan en el concurso de diseño.</w:t>
        <w:br/>
        <w:t/>
        <w:br/>
        <w:t>El peso del sector cerámico en la Comunitat Valenciana es otro de los aspectos que ha resaltado el President Fabra. Al respecto ha explicado que el 80 por ciento de todas las empresas cerámicas, a nivel nacional, se concentran en la Comunitat al igual que el 90 por ciento de los empleos que genera el sector. Además ha añadido que el 40 por ciento del PIB de la provincia de Castellón lo genera este sector.</w:t>
        <w:br/>
        <w:t/>
        <w:br/>
        <w:t>En este sentido ha señalado el esfuerzo de este sector que a pesar de la situación económica sigue creciendo un 7,7 por ciento en cuanto a producción y un 5,5 por ciento en cuanto a exportaciones.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