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IE, IESE y EUDE, en el top 10 de escuelas de negocios elaborado por el CSIC</w:t>
      </w:r>
    </w:p>
    <w:p>
      <w:pPr>
        <w:pStyle w:val="Ttulo2"/>
        <w:rPr>
          <w:color w:val="355269"/>
        </w:rPr>
      </w:pPr>
      <w:r>
        <w:rPr>
          <w:color w:val="355269"/>
        </w:rPr>
        <w:t>El último ranking de escuelas de negocios ofrecido por el Consejo Superior de Investigaciones Científicas deja a las instituciones españolas en muy buen lugar.</w:t>
      </w:r>
    </w:p>
    <w:p>
      <w:pPr>
        <w:pStyle w:val="LOnormal"/>
        <w:rPr>
          <w:color w:val="355269"/>
        </w:rPr>
      </w:pPr>
      <w:r>
        <w:rPr>
          <w:color w:val="355269"/>
        </w:rPr>
      </w:r>
    </w:p>
    <w:p>
      <w:pPr>
        <w:pStyle w:val="LOnormal"/>
        <w:jc w:val="left"/>
        <w:rPr/>
      </w:pPr>
      <w:r>
        <w:rPr/>
        <w:t/>
        <w:br/>
        <w:t/>
        <w:br/>
        <w:t>Tres de ellas se sitúan en los 10 primeros puestos en lo que a visibilidad en el mundo se refiere. El Instituto de Empresa Business Scholl ocupa el tercer lugar, la Universidad de Navarra IESE Business School, el séptimo, y la Escuela Europea de Dirección y Empresa (EUDE), el décimo. Otras escuelas de negocios nacionales, como Esade, también han conseguido un gran posicionamiento, en este caso en el número 13.</w:t>
        <w:br/>
        <w:t/>
        <w:br/>
        <w:t>El objetivo de este ranking, en el que se analizan mil centros de todo el mundo, es el de promover la presencia en la red de las escuelas de negocios encargadas de ofrecer formación en grados MBA. Sitúa a estos centros formativos al mismo nivel que entidades de la importancia de la Universidad de Harvard, Wharton en Pensilvania o la prestigiosa Columbia, en primer, segundo y sexto puesto, respectivamente.</w:t>
        <w:br/>
        <w:t/>
        <w:br/>
        <w:t>La lista mide la actividad y la visibilidad de las instituciones. Algunas de las más importantes han caído en los últimos puestos debido al abandono de la promoción. Hoy, ninguna, por muy importante o famosa que sea, debería ignorar su presencia en internet. Si sus prestaciones en el ranking aparecen por debajo de sus expectativas, las autoridades académicas deberían replantearse seriamente sus políticas.</w:t>
        <w:br/>
        <w:t/>
        <w:br/>
        <w:t>Fuente: Diarionegocio.es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