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Business Angels invierten 65 millones en start ups catalanas en 2011</w:t></w:r></w:p><w:p><w:pPr><w:pStyle w:val="Ttulo2"/><w:rPr><w:color w:val="355269"/></w:rPr></w:pPr><w:r><w:rPr><w:color w:val="355269"/></w:rPr><w:t>&nbsp; Seg&uacute;n el diario Expansi&oacute;n, Plasmia Biotech, Uvinum, Workmeter, Kantox y Down to Moon, entre otras, son las empresas catalanas que en los &uacute;ltimos meses de 2011 se han sumado a la lista de&nbsp;start up&nbsp;-liderada por Groupalia, Mequedouno, Social Point y Tiching-,&nbsp;que han recibido una inyecci&oacute;n de recursos por parte de inversores privados.</w:t></w:r></w:p><w:p><w:pPr><w:pStyle w:val="LOnormal"/><w:rPr><w:color w:val="355269"/></w:rPr></w:pPr><w:r><w:rPr><w:color w:val="355269"/></w:rPr></w:r></w:p><w:p><w:pPr><w:pStyle w:val="LOnormal"/><w:jc w:val="left"/><w:rPr></w:rPr></w:pPr><w:r><w:rPr></w:rPr><w:t> </w:t><w:br/><w:t></w:t><w:br/><w:t>Según el diario Expansión, Plasmia Biotech, Uvinum, Workmeter, Kantox y Down to Moon, entre otras, son las empresas catalanas que en los últimos meses de 2011 se han sumado a la lista destart up-liderada por Groupalia, Mequedouno, Social Point y Tiching-,que han recibido una inyección de recursos por parte de inversores privados. Un total de cuarenta y dos compañías captaron más de 65 millones de euros en rondas de financiación el pasado año. </w:t><w:br/><w:t></w:t><w:br/><w:t>Ele-commerce, el software y la movilidad son los tres sectores más atractivos a ojos de los inversores, seguidos del ámbito de la biotecnología y los juegos online. En los primeros ocho meses de 2011 se concentraron el mayor número de operaciones que sumaron 58 millones de euros, mientras desde septiembre hasta diciembre el importe ha aumentado en siete millones de euros (ver EXPANSIÓN Catalunya del 15 de agosto). </w:t><w:br/><w:t></w:t><w:br/><w:t>Doble financiación </w:t><w:br/><w:t></w:t><w:br/><w:t>Internacionalizarse, captar más clientes, posicionar el producto en el mercado o consolidarse son los principales motivos para buscar capital. Algunas empresas repiten ronda de financiación en menos de un año. Groupalia, que encabeza el listado con 29, 25 millones de euros, realizó dos rondas con cuatro meses de diferencia: en abril captó 11,25 millones de euros y 18 millones en agosto. </w:t><w:br/><w:t></w:t><w:br/><w:t>Una fórmula que también ha aplicado Wuaki.tv, creada por Jacinto Roca, que en la primera mitad del año levantó 1,1 millones de euros aportados por Esade BAN y Marc Ingla; mientras en agosto repitió la operación con dos millones de euros aportados por parte de los fondos Axon Capital y Bonsai Venture Capital. El videoclub online tiene previsto captar entre 10 millones y 15 millones adicionales a lo largo de este año. </w:t><w:br/><w:t></w:t><w:br/><w:t>LabiotechPlasmia Biotech, presidida por Jordi Martínez Rotllan, está inmersa en una ronda en la que espera alcanzar los 2,5 millones de euros en 2012. En una primera fase, la firma ha dado entrada en el capital al laboratorio británico Bristol Labs y ha cubierto una cuarta parte de los objetivos de financiación para los próximos años. </w:t><w:br/><w:t></w:t><w:br/><w:t>La tecnológica eyeOS, que creó Pau García-Milà, cerró una ronda por dos millones de euros, que aportó Inveready y grupo debusiness angelsde Esade. Sin embargo, la firma ya anunció que para 2012 prevé levantar diez millones de euros. </w:t><w:br/><w:t></w:t><w:br/><w:t>Futuras rondas </w:t><w:br/><w:t></w:t><w:br/><w:t>Este año se presenta con varias rondas de financiación en marcha. Anpro21 espera captar 700.000 euros, para posicionar su producto en el mercado -la herramientaBrain Rain- e internacionalizarse en Uruguay y Alemania. Una alternativa a la ronda es vender la compañía, según Oscar Trabazos, director de la firma. </w:t><w:br/><w:t></w:t><w:br/><w:t>La web Pisosbancos quiere inyectar 150.000 euros para llevar su negocio a Italia, Reino Unido, Alemania, México, Argentina y Brasil. El portal de productos artesanales Gourmet Origins, fundado en 2010 por Miquel Ros y Alex Wareing, busca inversores internacionales que aporten 150.000 euros. La tienda online de calzado en exclusiva Sivasdescalzo.es pretende captar 500.000 euros para abrir un punto de venta en Madrid y reforzar la empresa a escala nacional. </w:t><w:br/><w:t></w:t><w:br/><w:t>Los accionistas </w:t><w:br/><w:t></w:t><w:br/><w:t>La presencia de inversores internacionales en el accionariado de lasstart upcatalanas se mantiene al alza. Braxton Group, Bristol Labs, Atomico y Tiger Global Management son algunas de las firmas que han apostado por invertir en ellas. Los socios extranjeros acostumbran a recurrir a la coinversión con accionistas locales, que conocen el mercado y son más asiduos en el accionariado de las empresas, como son las redes debusiness angels-Keiretsu Forum, Esade BAN, SeedRocket o IESE-, losfamily office-Infema o el de la familia Pont-, y los grupos de inversión -Ysios Capital, Finaves, Venturcap. </w:t><w:br/><w:t></w:t><w:br/><w:t>Capital Cities- Safe and sound    </w:t><w:br/><w:t></w:t><w:br/><w:t>TweetArtículo publicado en El Blog de Carlos Guerrero</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El Blog de Carlos Guerrero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