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Asociaciones de Empresarios protegen de los Impagos a sus asociados.</w:t>
      </w:r>
    </w:p>
    <w:p>
      <w:pPr>
        <w:pStyle w:val="Ttulo2"/>
        <w:rPr>
          <w:color w:val="355269"/>
        </w:rPr>
      </w:pPr>
      <w:r>
        <w:rPr>
          <w:color w:val="355269"/>
        </w:rPr>
        <w:t>AEDAL, la asociación de empresarios que aglutina a las empresas mas importantes de El Sebadal firma un convenio con Central de Arbitraje.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AEDAL, la asociación de empresarios que aglutina a las empresas mas importantes de El Sebadal, firma un convenio con Central de Arbitraje, empresa canaria pionera e innovadora que introduce La Justicia Arbitral en el tejido empresarial canario.</w:t>
        <w:br/>
        <w:t/>
        <w:br/>
        <w:t>El servicio esta basado en las leyes 60/2003 y 11/2011, el empresario consigue a través de Central de Arbitraje, luchar contra moroso profesional, reclamando las deudas de una manera fácil, rápida, económica y eficaz.</w:t>
        <w:br/>
        <w:t/>
        <w:br/>
        <w:t>Uno de los argumentos mas valorados por la Asociación, es el que una vez iniciado un procedimiento arbitral se pueden deducir del impuesto de Sociedades las facturas no cobradas.</w:t>
        <w:br/>
        <w:t/>
        <w:br/>
        <w:t>Si necesitan más información pueden dirigirse www.elsebadal.com o mandar un correo a masinfo@centraldearbitraje.com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35007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