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XI Jornada sobre el aparcamiento de ASESGA</w:t>
      </w:r>
    </w:p>
    <w:p>
      <w:pPr>
        <w:pStyle w:val="Ttulo2"/>
        <w:rPr>
          <w:color w:val="355269"/>
        </w:rPr>
      </w:pPr>
      <w:r>
        <w:rPr>
          <w:color w:val="355269"/>
        </w:rPr>
        <w:t>La política de aparcamiento es una pieza clave de la movilidad de los centros urbanos y en la decisión de utilizar en ellos el vehículo privado u otro modo de transporte.</w:t>
      </w:r>
    </w:p>
    <w:p>
      <w:pPr>
        <w:pStyle w:val="LOnormal"/>
        <w:rPr>
          <w:color w:val="355269"/>
        </w:rPr>
      </w:pPr>
      <w:r>
        <w:rPr>
          <w:color w:val="355269"/>
        </w:rPr>
      </w:r>
    </w:p>
    <w:p>
      <w:pPr>
        <w:pStyle w:val="LOnormal"/>
        <w:jc w:val="left"/>
        <w:rPr/>
      </w:pPr>
      <w:r>
        <w:rPr/>
        <w:t/>
        <w:br/>
        <w:t/>
        <w:br/>
        <w:t>La política de aparcamiento es una pieza clave de la movilidad de los centros urbanos y en la decisión de utilizar en ellos el vehículo privado u otro modo de transporte. Con el título de El sector de los aparcamientos públicos en España: Evolución y tendencias, ASESGA (Asociación Española de Aparcamientos y Garajes) celebró el pasado 21 de noviembre en Madrid, coincidiendo con su Asamblea Ordinaria, las XI Jornadas sobre Aparcamiento. De la mano de Pedro Puig-Pei, de la consultora Deloitte, se hizo un recorrido por la actual situación de los aparcamientos en España. En líneas generales se mostró un sector caracterizado por un gran número de pequeñas empresas de ámbito local que conviven con un pequeño grupo de grandes operadores a escala nacional. El 55% de los ingresos generados corresponden a los cinco primeros operadores. El informe hizo un recorrido por las diferentes tipologías de aparcamientos que conviven en España. Existe una diferenciación entre los aparcamientos On Street y Off street. Los primeros se dividen, en libres (aparcamiento sin coste) y regulados (ORA). Los aparcamientos fuera de la calle, en públicos y privados. Se destacó el importante crecimiento y desarrollo en los últimos años del aparcamiento regulado en la calle (ORA) que supone una inversión inferior a los de fuera de la calle y que han tenido un importante crecimiento en los últimos años. Las Jornadas aportaron diferentes propuestas de mejora de cara al futuro. Entre ellas potenciar los aparcamientos fuera de la calle para reducir el volumen de vehículos en la superficie. Continuar integrando los aparcamientos de disuasión dentro de la estructura del transporte público, en estaciones de autobuses y trenes. La reutilización y adaptación más efectiva de los aparcamientos de centros comerciales. La utilización eficiente de los aparcamientos de empresas. Por último, se destacó la importancia de potenciar las tecnologías de información dinámica en aparcamientos tanto en calle como fuera de ella.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