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Solinsur desarrollarà la web para Fundación CB Granada</w:t>
      </w:r>
    </w:p>
    <w:p>
      <w:pPr>
        <w:pStyle w:val="Ttulo2"/>
        <w:rPr>
          <w:color w:val="355269"/>
        </w:rPr>
      </w:pPr>
      <w:r>
        <w:rPr>
          <w:color w:val="355269"/>
        </w:rPr>
        <w:t>Solinsur desarrollarà la web para Fundación CB Granada dentro del acuerdo marco establecido entre ambas entidades al inicio de la actual temporada baloncestistica.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Solinsur Informática S.L. va a desarrollar el portal corporativo para la Fundación Club Baloncesto Granada, entidad sin ánimo de lucro que gestiona la promoción, fomento, y desarrollo de actividades relacionadas con la cultura, el Ocio y el deporte.</w:t>
        <w:br/>
        <w:t/>
        <w:br/>
        <w:t>Este proyecto engloba una nueva imagen para la web, más atractiva y dinámica, así como toda una intranet para la gestión de todas las actividades, alumnos, etc.</w:t>
        <w:br/>
        <w:t/>
        <w:br/>
        <w:t>http://www.fundacioncbgranada.com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