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Recaudación solidaria en Marbella</w:t>
      </w:r>
    </w:p>
    <w:p>
      <w:pPr>
        <w:pStyle w:val="Ttulo2"/>
        <w:rPr>
          <w:color w:val="355269"/>
        </w:rPr>
      </w:pPr>
      <w:r>
        <w:rPr>
          <w:color w:val="355269"/>
        </w:rPr>
        <w:t>La gala de los premios Marbella Awards destina màs de once mil euros 
de la recaudación a Fundaspandem y a Fundación Cesare Scariolo.
</w:t>
      </w:r>
    </w:p>
    <w:p>
      <w:pPr>
        <w:pStyle w:val="LOnormal"/>
        <w:rPr>
          <w:color w:val="355269"/>
        </w:rPr>
      </w:pPr>
      <w:r>
        <w:rPr>
          <w:color w:val="355269"/>
        </w:rPr>
      </w:r>
    </w:p>
    <w:p>
      <w:pPr>
        <w:pStyle w:val="LOnormal"/>
        <w:jc w:val="left"/>
        <w:rPr/>
      </w:pPr>
      <w:r>
        <w:rPr/>
        <w:t/>
        <w:br/>
        <w:t/>
        <w:br/>
        <w:t>La revista Essential Magazine, organizadora de la gala de los premios Marbella Awards ha dado a conocer la recaudación obtenida en la sexta edición de esta ceremonia celebrada el pasado 19 de noviembre.</w:t>
        <w:br/>
        <w:t/>
        <w:br/>
        <w:t>El importe alcanzado es 11.089,30 euros. Una cantidad que se repartirá a partes iguales entre las dos organizaciones sociales escogidas por la organización en esta sexta edición de la velada: la Fundación Tutelar Fundaspandem y la Fundación Cesare Scariolo. Cada una de estas dos entidades recibirá, por tanto, la cantidad de 5.544,65 euros.</w:t>
        <w:br/>
        <w:t/>
        <w:br/>
        <w:t>El carácter altruista de la gala de los Marbella Awards es un sello identificativo de esta cita social. La organización escoge cada año una entidad beneficiaria de la recaudación íntegra obtenida. La única condición exigida es que se trate de organizaciones dedicadas a la atención de niños en circunstancias especiales.</w:t>
        <w:br/>
        <w:t/>
        <w:br/>
        <w:t>La dirección de la revista Essential ha mostrado su gran satisfacción por la recaudación obtenida cuya entrega pone el broche final a meses de esfuerzo y trabajo dedicados a la organización de la velada.</w:t>
        <w:br/>
        <w:t/>
        <w:br/>
        <w:t>La gala de los Marbella Awards se ha consolidado como uno de los encuentros empresariales más importantes del año, una cita que ésta </w:t>
        <w:br/>
        <w:t/>
        <w:br/>
        <w:t>edición ha reunido en la ciudad a más de doscientas cincuenta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