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Implementación de la innovación estratégica disruptiva basada en los escenarios de futuro CEFFOR</w:t>
      </w:r>
    </w:p>
    <w:p>
      <w:pPr>
        <w:pStyle w:val="Ttulo2"/>
        <w:rPr>
          <w:color w:val="355269"/>
        </w:rPr>
      </w:pPr>
      <w:r>
        <w:rPr>
          <w:color w:val="355269"/>
        </w:rPr>
        <w:t>El objetivo del proyecto consiste en implementar en empresas del sector de la madera-mueble de la Comunidad Valenciana métodos de innovación estratégica y técnicas avanzadas de anàlisis del usuario que den lugar a innovaciones disruptivas...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objetivo del proyecto consiste en implementar en empresas del sector de la madera-mueble de la Comunidad Valenciana métodos de innovación estratégica y técnicas avanzadas de análisis del usuario que den lugar a innovaciones disruptivas de los modelos de negocio. El proyecto contempla una etapa de desarrollo individual por parte de las empresas, donde se implanta la metodología de innovación estratégica y de diseño orientado al usuario. En una segunda etapa, se presentarán y comunicarán los prototipos de muebles resultantes en exposiciones sectoriales, con el fin de generar un efecto arrastre en el sector.</w:t>
        <w:br/>
        <w:t/>
        <w:br/>
        <w:t>Leer el artículo completo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46980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