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73% de los asesores considera que el Impuesto sobre el Patrimonio afectaría negativamente a la inversión en España</w:t>
      </w:r>
    </w:p>
    <w:p>
      <w:pPr>
        <w:pStyle w:val="Ttulo2"/>
        <w:rPr>
          <w:color w:val="355269"/>
        </w:rPr>
      </w:pPr>
      <w:r>
        <w:rPr>
          <w:color w:val="355269"/>
        </w:rPr>
        <w:t>- El 86% de los encuestados cree que la reducción del IVA no va a favorecer la reactivación del sector inmobiliario.
- Ademàs un 61% opina que, dada la situación actual, lo importante es contratar aunque sea de forma temporal.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14 de noviembre de 2011.- Según los resultados de la quinta edición del Barómetro de Coyuntura Económica del Asesor, promovido por CISS y A3 Software del Grupo Wolters Kluwer, realizada a asesores de empresas de toda España, un 73% de ellos consideran que la reactivación del Impuesto sobre el Patrimonio, con tendencia a gravar las rentas más altas y los bancos, agravaría el problema de la desinversión en España. En cuanto a las posibles consecuencias de esta reforma fiscal, el 53% de los asesores opinan que supondría claramente una deslocalización de los patrimonios hacia territorios de baja tributación mientras que el 20% creen que esta medida sería poco incentivadora para las inversiones extranjeras en nuestro país.</w:t>
        <w:br/>
        <w:t/>
        <w:br/>
        <w:t>Además, ante la coyuntura económica actual que se vive en España, el 86% de los asesores consideran que la reducción al 4% del tipo de IVA aplicable a las entregas de viviendas no va a favorecer la reactivación del sector inmobiliario. La mayoría cree que esta medida, establecida por el Real Decreto-Ley 9/2011 de medidas de consolidación fiscal, no es suficiente, ya que la reactivación del sector depende principalmente de que las entidades financieras vuelvan a abrir sus líneas de préstamos hipotecarios a los consumidores. Por el contrario, el 14% restante lo ve de forma positiva y opina que la reducción de esta carga va a suponer un notable ahorro para el comprador. </w:t>
        <w:br/>
        <w:t/>
        <w:br/>
        <w:t>En referencia a las medidas de fomento sobre la estabilidad en el empleo, aprobadas en el RD-Ley 10/2011 del 26 de agosto, un 61% opina que, dada la situación actual, lo importante es contratar aunque sea de forma temporal. Sin embargo, un 18% de los encuestados se oponen y consideran que estas medidas fomentarán la contratación temporal en detrimento de la estabilidad en el empleo, ya que también se eliminan las restricciones a la vinculación de contratos personales.</w:t>
        <w:br/>
        <w:t/>
        <w:br/>
        <w:t>Nuevo contrato para la formación y el aprendizaje </w:t>
        <w:br/>
        <w:t/>
        <w:br/>
        <w:t>A su vez, el 55% de los asesores afirma que el nuevo contrato para la formación y el aprendizaje, que pretende mejorar las oportunidades de empleo de los jóvenes parados, no aportará soluciones. En cambio, un 27% piensa que esta medida, aprobada también en el Decreto del 26 de agosto, impulsará el interés de este tipo de contratos por parte de las empresas. </w:t>
        <w:br/>
        <w:t/>
        <w:br/>
        <w:t>Recién titulados</w:t>
        <w:br/>
        <w:t/>
        <w:br/>
        <w:t>Por último, la mitad de los asesores encuestados creen que motivar a las empresas para que contraten a recién titulados puede ser una medida interesante, ya que seguramente eso se traduciría en beneficios fiscales para la empresa. No obstante, el 36% piensa que, aunque gracias a este incentivo se redujera el paro juvenil, no sería una medida totalmente positiva ya que haría que disminuyese la contratación de desempleados de edades superiores.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