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Aumenta la demanda de alojamientos extrahoteleros por parte de turistas alemanes, polacos y rusos</w:t>
      </w:r>
    </w:p>
    <w:p>
      <w:pPr>
        <w:pStyle w:val="Ttulo2"/>
        <w:rPr>
          <w:color w:val="355269"/>
        </w:rPr>
      </w:pPr>
      <w:r>
        <w:rPr>
          <w:color w:val="355269"/>
        </w:rPr>
        <w:t>El buen tiempo y la reducción de precios durante el mes de septiembre han contribuido al aumento de demanda de alojamientos extrahoteleros desde países como Alemania, Polonia y Rusia.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días soleados y calurosos han sido la tónica general del mes de septiembre, esto unido al hecho de que el precio de los alojamientos extrahoteleros se ha visto reducido respecto a los tres meses anteriores, ha contribuido a que las solicitudes recibidas en CasaSpain.com desde países como Alemania, Polonia y Rusia se hayan incrementado respecto a la temporada alta estivan.</w:t>
        <w:br/>
        <w:t/>
        <w:br/>
        <w:t>La demanda de apartamentos, villas y casas rurales de turistas alemanes ha sido la que más ha crecido en el mes de septiembre. Si durante junio, julio y agosto la media de solicitudes recibidas desde Alemania rondó el 3,5% respecto al total de peticiones recibidas desde más de 40 países diferentes, en septiembre, alcanzó el 12,6%.</w:t>
        <w:br/>
        <w:t/>
        <w:br/>
        <w:t>En cuanto a las reservas recibidas por parte de turistas polacos, la situación es parecida, dado que si durante los tres meses de verano la media fue inferior al 1%, en septiembre las solicitudes recibidas desde ese país han significado el 7,2% del total.</w:t>
        <w:br/>
        <w:t/>
        <w:br/>
        <w:t>El caso de las solicitudes recibidas desde Rusia es también similar, ya que ha pasado del 1% de media en plena temporada alta, al 4,2% en septiembre. Lo cierto, es que la demanda de alojamientos no hoteleros realizada por parte de turistas rusos pese a no ser la que más ha crecido en el último mes, sí mantiene un crecimiento constante, respecto a la demanda realizada por el resto de países.</w:t>
        <w:br/>
        <w:t/>
        <w:br/>
        <w:t>En cuanto a las preferencias, en los tres casos, lo más demandado han sido los apartamentos y villas situadas en primera línea de playa en las principales localidades costeras de la zona de Andalucía, Cataluña, Baleares, así como de la provincia de Alicante.</w:t>
        <w:br/>
        <w:t/>
        <w:br/>
        <w:t>Por otra parte, si la demanda recibida desde Alemania, Polonia y Rusia es la que mayor crecimiento ha experimentado, siguen siendo países como Francia, Italia y Portugal los que más acuden, tan sólo por detrás de los usuarios nacionales, a portales de turismo residencial del tipo de CasaSpain.com para reservar su alojamiento en España.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