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Zenit Detectives detecta un incremento de las investigaciones por fraudes a las empresas de un 48%</w:t>
      </w:r>
    </w:p>
    <w:p>
      <w:pPr>
        <w:pStyle w:val="Ttulo2"/>
        <w:rPr>
          <w:color w:val="355269"/>
        </w:rPr>
      </w:pPr>
      <w:r>
        <w:rPr>
          <w:color w:val="355269"/>
        </w:rPr>
        <w:t>-Las estafas màs comunes son las bajas fraudulentas, el bajo rendimiento de los comerciales y la competencia desleal de empleados con puestos de responsabilidad.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Zenit Detectives, compañía española experta en investigaciones aplicadas en el ámbito empresarial, anuncia que desde la llegada de la crisis, el número de investigaciones por fraudes a las empresas se ha incrementado en un 48%.</w:t>
        <w:br/>
        <w:t/>
        <w:br/>
        <w:t>Con motivo de la crisis, el porcentaje se ha acentuado sobre todo por la falta de ingresos o tensiones internas dentro de las compañías. Los fraudes más comunes en las empresas son las bajas fraudulentas, el bajo rendimiento de comerciales, competencia desleal de empleados con puestos de responsabilidad y los sabotajes.</w:t>
        <w:br/>
        <w:t/>
        <w:br/>
        <w:t>Según José María Alonso, Director Operativo de Zenit Detectives, las pautas que debemos llevar a cabo cuando un Director de RRHH, un gerente o un director de seguridad contacta para que le ayudemos a demostrar el fraude consisten en el asesoramiento sobre la viabilidad y la conveniencia de llevar a cabo una investigación.</w:t>
        <w:br/>
        <w:t/>
        <w:br/>
        <w:t>Los responsables de las compañías deben saber que el mejor momento para contratar los servicios de un detective privado se produce cuando la empresa ya tiene indicios de fraude. </w:t>
        <w:br/>
        <w:t/>
        <w:br/>
        <w:t>Según los datos de Zenit, el 67% de las investigaciones en grandes empresas están relacionados con sabotajes y fugas de información, mientras que en las pequeñas el 87% de las investigaciones en Pequeñas y Medianas empresas son asuntos laborales.</w:t>
        <w:br/>
        <w:t/>
        <w:br/>
        <w:t>Durante los últimos años, con motivo de la crisis, los casos de bajas fingidas o bajo rendimiento laboral se redujeron hasta un 32% debido a la menor disposición de presupuesto por parte de las empresas y al miedo del trabajador a perder su trabajo si solicita la baja. Sin embargo, durante este año se ha detectado un incremento de las investigaciones por bajas fingidas hasta un 41%.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/ Pozuelo de Alarcón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