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Recasa recuperación de activos firma un acuerdo de colaboración con el Colegi dAssegurances de Barcelona</w:t>
      </w:r>
    </w:p>
    <w:p>
      <w:pPr>
        <w:pStyle w:val="Ttulo2"/>
        <w:rPr>
          <w:color w:val="355269"/>
        </w:rPr>
      </w:pPr>
      <w:r>
        <w:rPr>
          <w:color w:val="355269"/>
        </w:rPr>
        <w:t>El pasado mes de julio se firmo en Barcelona un acuerdo de colaboración entre la empresa Recasa recuperación de activos y el Col.legi de Mediadors d?Assegurances de Barcelona.</w:t>
      </w:r>
    </w:p>
    <w:p>
      <w:pPr>
        <w:pStyle w:val="LOnormal"/>
        <w:rPr>
          <w:color w:val="355269"/>
        </w:rPr>
      </w:pPr>
      <w:r>
        <w:rPr>
          <w:color w:val="355269"/>
        </w:rPr>
      </w:r>
    </w:p>
    <w:p>
      <w:pPr>
        <w:pStyle w:val="LOnormal"/>
        <w:jc w:val="left"/>
        <w:rPr/>
      </w:pPr>
      <w:r>
        <w:rPr/>
        <w:t/>
        <w:br/>
        <w:t/>
        <w:br/>
        <w:t>El pasado mes de julio se firmo en Barcelona un acuerdo de colaboración entre la empresa Recasa recuperación de activos y el Col.legi de Mediadors dAssegurances de Barcelona. El acuerdo, está orientado a ayudar al mediador en los casos de siniestros graves que tengan sus clientes, Recasa quiere dar un acceso al servicio de recuperación de siniestros graves de una forma directa y exclusiva a los mediadores del Collegi . De esta forma podrán gestionar estos casos especialmente graves para su asegurado de forma directa con la empresa con independencia de la compañía que tenga contratada su asegurado.</w:t>
        <w:br/>
        <w:t/>
        <w:br/>
        <w:t>Según Jose Luis Cano, director general de Recasa recuperación de activos, Ayudamos a los mediadores a fidelizar su cartera. En el caso de un siniestro por incendio, explosión o fenómeno atmosférico el mediador va a contar con un aliado en dicha fidelización desde el momento en que ejercemos una consultoría. En esta definimos, de la mano del mediador, el alcance de los daños y la estrategia a seguir para la recuperación del inmueble, ejecutamos dicha recuperación y solventamos todas las necesidades aledañas que pudieran surgir. Todo esto en un plazo mínimo ya que la colaboración con el mediador nos dará la posibilidad de intervenir en el siniestro 24 horas después de su comunicación por parte del asegurado.</w:t>
        <w:br/>
        <w:t/>
        <w:br/>
        <w:t>Ambas partes declararon su satisfacción por la firma del acuerdo y coincidieron en la necesidad existente pero no cubierta en la recuperación de este tipo de siniestros.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