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MOBOTIX cierra el ejercicio económico 2010/11 con un aumento del volumen de negocio del 36 % </w:t>
      </w:r>
    </w:p>
    <w:p>
      <w:pPr>
        <w:pStyle w:val="Ttulo2"/>
        <w:rPr>
          <w:color w:val="355269"/>
        </w:rPr>
      </w:pPr>
      <w:r>
        <w:rPr>
          <w:color w:val="355269"/>
        </w:rPr>
        <w:t>Resumen en cifras del ejercicio económico (del 1 de julio de 2010 al 30 de junio de 2011):
? Ventas: 73,2 millones ? ( 36 %)
? Ratio de exportación: 76 %
? EBIT: 19,2 millones de ? ( 58 %) 
? Margen del EBIT en %: 25 %)
</w:t>
      </w:r>
    </w:p>
    <w:p>
      <w:pPr>
        <w:pStyle w:val="LOnormal"/>
        <w:rPr>
          <w:color w:val="355269"/>
        </w:rPr>
      </w:pPr>
      <w:r>
        <w:rPr>
          <w:color w:val="355269"/>
        </w:rPr>
      </w:r>
    </w:p>
    <w:p>
      <w:pPr>
        <w:pStyle w:val="LOnormal"/>
        <w:jc w:val="left"/>
        <w:rPr/>
      </w:pPr>
      <w:r>
        <w:rPr/>
        <w:t/>
        <w:br/>
        <w:t/>
        <w:br/>
        <w:t>MOBOTIX AG (ISIN DE0005218309), líder fabricante de sistemas de video de alta resolución basados en redes, hace públicos las cifras del ejercicio económico 2010/11 (comprendido entre el 1 de julio de 2010 y el 30 de junio de 2011) del Grupo (cuentas consolidadas formuladas conforme a las NIIF). Tanto el volumen de negocio como el margen del EBIT han crecido de forma considerable respecto al ejercicio anterior. El volumen de negocio consolidado ha aumentado en un 36 %, hasta alcanzar los 73,2 millones de EUR (ejercicio anterior, 53,8 millones de EUR).</w:t>
        <w:br/>
        <w:t/>
        <w:br/>
        <w:t>Gracias a un EBITDA de 22,0 millones de EUR, ha podido alcanzarse un margen del EBITDA de casi el 29 %. El EBIT aumentó en un 58 % situándose en 19,2 millones de EUR (ejercicio anterior: 12,1 millones de EUR), de forma que el margen del EBIT para todo el Grupo se ha situado en el último ejercicio económico en el 25 %. El resultado después de impuestos ha crecido de forma más que proporcional desde 8,4 millones de EUR a 13,2 millones de EUR, lo cual supone un incremento del 58 %. Así pues, el resultado por acción ha mejorado en un 59 %, hasta situarse en 3,00 EUR (ejercicio anterior: 1,89 EUR).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