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Oryzon prevé invertir 6,5 millones de euros </w:t>
      </w:r>
    </w:p>
    <w:p>
      <w:pPr>
        <w:pStyle w:val="Ttulo2"/>
        <w:rPr>
          <w:color w:val="355269"/>
        </w:rPr>
      </w:pPr>
      <w:r>
        <w:rPr>
          <w:color w:val="355269"/>
        </w:rPr>
        <w:t>Cuando se cumple una década de su puesta en marcha, Oryzon se ha convertido en una de las biotecnológicas màs importantes del sector español, con un valor fijado en los 55 millones de euros como resultado de un continuado proceso de crecimiento y conso</w:t>
      </w:r>
    </w:p>
    <w:p>
      <w:pPr>
        <w:pStyle w:val="LOnormal"/>
        <w:rPr>
          <w:color w:val="355269"/>
        </w:rPr>
      </w:pPr>
      <w:r>
        <w:rPr>
          <w:color w:val="355269"/>
        </w:rPr>
      </w:r>
    </w:p>
    <w:p>
      <w:pPr>
        <w:pStyle w:val="LOnormal"/>
        <w:jc w:val="left"/>
        <w:rPr/>
      </w:pPr>
      <w:r>
        <w:rPr/>
        <w:t/>
        <w:br/>
        <w:t/>
        <w:br/>
        <w:t>En 2000 Oryzon fue la primera empresa de actividad estrictamente biotecnológica de Catalunya y una de las pioneras en España. Luego se convirtió en un valor emergente con alta capacidad de crecimiento. Y, en la actualidad, se ha afianzado como una de las tres primeras biotecnológicas españolas en el desarrollo de nuevos fármacos en las áreas de oncología y enfermedades neurodegenerativas, con una dimensión que se corresponde a la media de una empresa europea.</w:t>
        <w:br/>
        <w:t/>
        <w:br/>
        <w:t>La progresión en el crecimiento de la Compañía ha sido continuada y ascedente. En 2009 los ingresos se han situado en los 7,1 millones de euros, 3,4 de los cuales han correspondido a ventas. Y las previsiones siguen siendo positivas de cara al próximo año, ya que se calcula que en 2010 los ingresos puedan alcanzar los 10 millones de euros.</w:t>
        <w:br/>
        <w:t/>
        <w:br/>
        <w:t>En lo que se refiere a inversiones, éstas han sido de 4,2 millones de euros, de los cuales 3,4 se han destinado a ID y a desarrollar los distintos programas de investigación que la biotecnológica tiene en marcha actualmente en oncología y enfermedades neurodegenerativas, las dos áreas clave de la Compañía.</w:t>
        <w:br/>
        <w:t/>
        <w:br/>
        <w:t>Uno de los principales puntos de inflexión en 2009 es que se ha formalizado la adquisición de Crystax Pharmaceuticals S.L., una adquisición que ha contado con el apoyo del Institut Català de Finances con un préstamo de 3,3 millones de euros, y cuyo resultado ha sido la creación de una Compañía valorada en 55 millones de euros y que se consolida como uno de los grupos más potentes de España en el desarrollo de nuevos fármacos en cáncer y neurodegeneración, con 28 familias de patentes y una plantilla cercana a los 80 investigadores, todos ellos altamente cualificados.</w:t>
        <w:br/>
        <w:t/>
        <w:br/>
        <w:t>Además, desde septiembre de 2009 la empresa cuenta con una estructura propia y con tecnología de última generación que le permite trabajar a pleno rendimiento y acelerar al máximo los distintos programas de desarrollo de nuevos fármacos que tiene en marcha, algunos de los cuales podrían entrar en una fase de experimentación clínica en un plazo de dos años, en 2012.</w:t>
        <w:br/>
        <w:t/>
        <w:br/>
        <w:t>Acerca de Oryzon </w:t>
        <w:br/>
        <w:t/>
        <w:br/>
        <w:t>Creada en el año 2000 Oryzon (www.oryzon.com) fue la primera empresa de biotecnología fundada en Catalunya, y una de las primeras en España. Especializada en genómica funcional la investigación masiva de genes para diseñar y desarrollar productos biotecnológicos que mejoren la salud de las personas- se ha convertido en menos de 10 años en una de las compañías de mayor crecimiento del sector biotecnológico.</w:t>
        <w:br/>
        <w:t/>
        <w:br/>
        <w:t>La Compañía centra sus actividades y su creación de valor en el desarrollo y comercialización de soluciones diagnósticas y de pronóstico propietarias en enfermedades oncológicas y neurodegenerativas, así como en el desarrollo y licencia a terceros de moléculas terapéuticas propietarias en enfermedades oncológicas y neurodegenerativas. La Compañía genera además ingresos recurrentes por servicios externos de ID y de diagnóstico a la industria farmacéutica y agroalimentaria.</w:t>
        <w:br/>
        <w:t/>
        <w:br/>
        <w:t>Para más información, contactar con Sílvia Castells, Grupo Inforpress,</w:t>
        <w:br/>
        <w:t/>
        <w:br/>
        <w:t>Telf. 93 419 06 30 (scastells@inforpress.es)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2010-07-14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