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Vertiv, en colaboración con NVIDIA, desarrolla un diseño completo de alimentación y refrigeración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Nuevos diseños de referencia de alimentación y refrigeración críticas para arquitecturas NVIDIA Blackwell de hasta 7 MW, con opciones de infraestructura OCP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Vertiv (NYSE: VRT), proveedor global de infraestructura digital crítica, ha anunciado el lanzamiento de una completa arquitectura de referencia de 7 MW de la plataforma NVIDIA GB200 NVL72, desarrollada en colaboración con NVIDIA, que permitirá a los clientes transformar las arquitecturas tradicionales de los centros de datos en fábricas de IA capaces de impulsar aplicaciones de IA en toda la organización. </w:t>
            </w:r>
          </w:p>
          <w:p>
            <w:pPr>
              <w:ind w:left="-284" w:right="-427"/>
              <w:jc w:val="both"/>
              <w:rPr>
                <w:rFonts/>
                <w:color w:val="262626" w:themeColor="text1" w:themeTint="D9"/>
              </w:rPr>
            </w:pPr>
            <w:r>
              <w:t>Esta arquitectura de referencia acelerará el despliegue de la plataforma de escala rack refrigerada por líquido NVIDIA GB200 NVL72 y es capaz de soportar hasta 132kW por rack. La arquitectura adopta un enfoque integral hacia el diseño de infraestructura para optimizar la rapidez de despliegue, rendimiento, resiliencia, coste, eficiencia energética y escalabilidad para los centros de datos actuales y de futuras generaciones.</w:t>
            </w:r>
          </w:p>
          <w:p>
            <w:pPr>
              <w:ind w:left="-284" w:right="-427"/>
              <w:jc w:val="both"/>
              <w:rPr>
                <w:rFonts/>
                <w:color w:val="262626" w:themeColor="text1" w:themeTint="D9"/>
              </w:rPr>
            </w:pPr>
            <w:r>
              <w:t>"Nos sentimos orgullosos de expandir la colaboración con NVIDIA para habilitar centros de datos de IA para el presente y el futuro", manifestó Giordano (Gio) Albertazzi, consejero delegado de Vertiv. "Como líder en infraestructura crítica de alimentación y refrigeración, Vertiv se encuentra en una posición única para ofrecer soporte a la plataforma NVIDIA GB200 NVL72. El portfolio de soluciones de altas prestaciones para alimentación y refrigeración, combinada con la  escala global de Vertiv, permitirá a los clientes desplegar centros de datos de IA con mayor rapidez, eficiencia y flexibilidad, que contribuirán a abordar la densificación, cargas de trabajo dinámicas, retrofits y habilitación de diseños preparados para el futuro".</w:t>
            </w:r>
          </w:p>
          <w:p>
            <w:pPr>
              <w:ind w:left="-284" w:right="-427"/>
              <w:jc w:val="both"/>
              <w:rPr>
                <w:rFonts/>
                <w:color w:val="262626" w:themeColor="text1" w:themeTint="D9"/>
              </w:rPr>
            </w:pPr>
            <w:r>
              <w:t>"Los nuevos centros de datos estarán preparados para la informática acelerada y la IA generativa mediante arquitecturas significativamente más complejas que las empleadas en la informática de uso general", añadió Jensen Huang, fundador y consejero delegado de NVIDIA. "Gracias a las tecnologías de alimentación y refrigeración de primer nivel de Vertiv, en NVIDIA se puede materializar la visión de reinventar la informática y crear un nuevo sector de fábricas de IA que produzcan inteligencia digital para beneficiar a todas las empresas y sectores".</w:t>
            </w:r>
          </w:p>
          <w:p>
            <w:pPr>
              <w:ind w:left="-284" w:right="-427"/>
              <w:jc w:val="both"/>
              <w:rPr>
                <w:rFonts/>
                <w:color w:val="262626" w:themeColor="text1" w:themeTint="D9"/>
              </w:rPr>
            </w:pPr>
            <w:r>
              <w:t>En esta infraestructura de alimentación y refrigeración de Vertiv™, que estará perfectamente acoplada con la plataforma NVIDIA Blackwell, la arquitectura simplificará y acelerará el despliegue de cargas de trabajo IA en centros de datos nuevos y existentes, al tiempo que se reducirá el riesgo y se facilitará la estandarización entre ubicaciones. La infraestructura de alimentación crítica integral de esta arquitectura ha sido diseñada para reducir significativamente la alimentación desaprovechada al alinear los nodos de IA con los bloques de capacidad del centro de datos. La infraestructura de refrigeración híbrida por aire y líquido aprovecha el impacto interdependiente de los dos enfoques para gestionar de manera eficiente la eliminación de calor de alta densidad. Además, el diseño permite sistemas opcionales inspirados en OCP (Open Compute Project o proyecto de informática abierta), como bandejas de alimentación DC.</w:t>
            </w:r>
          </w:p>
          <w:p>
            <w:pPr>
              <w:ind w:left="-284" w:right="-427"/>
              <w:jc w:val="both"/>
              <w:rPr>
                <w:rFonts/>
                <w:color w:val="262626" w:themeColor="text1" w:themeTint="D9"/>
              </w:rPr>
            </w:pPr>
            <w:r>
              <w:t>La arquitectura de referencia forma parte del portfolio de diseños de referencia Vertiv™ 360AI, orientados a los retrofits o a la construcción desde cero de centros de datos, y diseñados para ayudar a los clientes a elegir entre las múltiples soluciones integradas para alimentar y refrigerar plataformas de IA y otras aplicaciones de informática de alto rendimiento. Entre los beneficios clave de la arquitectura de referencia GB200 NVL72 desarrollada en colaboración con NVIDIA se incluyen:</w:t>
            </w:r>
          </w:p>
          <w:p>
            <w:pPr>
              <w:ind w:left="-284" w:right="-427"/>
              <w:jc w:val="both"/>
              <w:rPr>
                <w:rFonts/>
                <w:color w:val="262626" w:themeColor="text1" w:themeTint="D9"/>
              </w:rPr>
            </w:pPr>
            <w:r>
              <w:t>Despliegues y retrofits rápidos: para facilitar el uso de módulos preconfigurados e integración de fábrica, VertivTM MegaModTM CoolChip ofrece infraestructura crítica de IA llave en mano hasta un 50% más rápidamente que los despliegues in-situ.</w:t>
            </w:r>
          </w:p>
          <w:p>
            <w:pPr>
              <w:ind w:left="-284" w:right="-427"/>
              <w:jc w:val="both"/>
              <w:rPr>
                <w:rFonts/>
                <w:color w:val="262626" w:themeColor="text1" w:themeTint="D9"/>
              </w:rPr>
            </w:pPr>
            <w:r>
              <w:t>Gestión de alimentación en menos espacio: empleando la avanzada tecnología de alimentación de Vertiv, incluyendo el sistema de alimentación ininterrumpida (SAI) Vertiv™ Trinergy™ y el armario de baterías de ion-litio Vertiv™ EnergyCore, el diseño proporciona una fiabilidad y eficiencia de la gestión energética líderes en el sector, ocupando hasta un 40% menos de espacio que las soluciones tradicionales.</w:t>
            </w:r>
          </w:p>
          <w:p>
            <w:pPr>
              <w:ind w:left="-284" w:right="-427"/>
              <w:jc w:val="both"/>
              <w:rPr>
                <w:rFonts/>
                <w:color w:val="262626" w:themeColor="text1" w:themeTint="D9"/>
              </w:rPr>
            </w:pPr>
            <w:r>
              <w:t>Refrigeración eficiente: al integrar tecnologías de refrigeración por líquido y aire con bajo GWP (Global Warming Potential o potencial de calentamiento global) a gran escala, incluyendo el chiller Vertiv™ AFC, sistemas de refrigeración de salas basados en agua enfriada Vertiv™ Liebert® y las unidades de distribución de refrigerante Vertiv™ XDU, se obtiene una reducción de costes anuales de refrigeración de hasta un 20% en comparación con las soluciones habituales.</w:t>
            </w:r>
          </w:p>
          <w:p>
            <w:pPr>
              <w:ind w:left="-284" w:right="-427"/>
              <w:jc w:val="both"/>
              <w:rPr>
                <w:rFonts/>
                <w:color w:val="262626" w:themeColor="text1" w:themeTint="D9"/>
              </w:rPr>
            </w:pPr>
            <w:r>
              <w:t>Gestión dinámica de las cargas de trabajo: el promedio de cargas integrado mediante baterías de ion-litio y la nueva generación de SAIs proporcionan soporte para cargas de trabajo de GPU dinámicas.</w:t>
            </w:r>
          </w:p>
          <w:p>
            <w:pPr>
              <w:ind w:left="-284" w:right="-427"/>
              <w:jc w:val="both"/>
              <w:rPr>
                <w:rFonts/>
                <w:color w:val="262626" w:themeColor="text1" w:themeTint="D9"/>
              </w:rPr>
            </w:pPr>
            <w:r>
              <w:t>Servicios de instalación y operaciones: gracias a su escala y alcance, líderes en el sector, y sus casi 4.000 ingenieros de servicio a nivel global, Vertiv es el partner de servicio más fiable para el ciclo de vida de los centros de datos, así como el experto en retrofits y nuevas construcciones de sistemas de alta complejidad.</w:t>
            </w:r>
          </w:p>
          <w:p>
            <w:pPr>
              <w:ind w:left="-284" w:right="-427"/>
              <w:jc w:val="both"/>
              <w:rPr>
                <w:rFonts/>
                <w:color w:val="262626" w:themeColor="text1" w:themeTint="D9"/>
              </w:rPr>
            </w:pPr>
            <w:r>
              <w:t>A medida que las empresas incorporan el potencial de la IA a un ritmo sin precedentes, Vertiv está dando forma al futuro de la alimentación y refrigeración crítica para apoyar la informática acelerada, mediante el portfolio más completo de infraestructura digital crítica que hace posible operar infraestructuras preparadas para la IA y capaces de gestionar sus singulares requisitos y otras aplicaciones de informática acelerada.</w:t>
            </w:r>
          </w:p>
          <w:p>
            <w:pPr>
              <w:ind w:left="-284" w:right="-427"/>
              <w:jc w:val="both"/>
              <w:rPr>
                <w:rFonts/>
                <w:color w:val="262626" w:themeColor="text1" w:themeTint="D9"/>
              </w:rPr>
            </w:pPr>
            <w:r>
              <w:t>La colaboración entre Vertiv y NVIDIA establece una hoja de ruta de cara al futuro del desarrollo técnico y facilita el despliegue de informática acelerada a gran escala. Para acceder a los diseños de referencia, se puede visitar Vertiv.com.</w:t>
            </w:r>
          </w:p>
          <w:p>
            <w:pPr>
              <w:ind w:left="-284" w:right="-427"/>
              <w:jc w:val="both"/>
              <w:rPr>
                <w:rFonts/>
                <w:color w:val="262626" w:themeColor="text1" w:themeTint="D9"/>
              </w:rPr>
            </w:pPr>
            <w:r>
              <w:t>Acerca de Vertiv    Vertiv (NYSE: VRT) reúne el hardware, el software, la analítica y los servicios continuos para garantizar que las aplicaciones vitales de sus clientes funcionen de forma continua, tengan un rendimiento óptimo y crezcan con sus necesidades empresariales. Vertiv resuelve los retos más importantes a los que se enfrentan los centros de datos, las redes de comunicación y las instalaciones comerciales e industriales con un portfolio de soluciones y servicios de infraestructura de energía, refrigeración y TI que se extiende desde la nube hasta el Edge Computing. Con sede en Westerville, Ohio (EE. UU.), Vertiv está presente en más de 130 países. Para obtener más información y conocer las últimas noticias y contenidos de Vertiv, visita Vertiv.com.   </w:t>
            </w:r>
          </w:p>
          <w:p>
            <w:pPr>
              <w:ind w:left="-284" w:right="-427"/>
              <w:jc w:val="both"/>
              <w:rPr>
                <w:rFonts/>
                <w:color w:val="262626" w:themeColor="text1" w:themeTint="D9"/>
              </w:rPr>
            </w:pPr>
            <w:r>
              <w:t>Declaraciones de carácter prospectivo    Este comunicado contiene declaraciones de carácter prospectivo en el sentido de la Ley estadounidense de reforma de litigios sobre títulos privados de 1995, el Art. 27 de la Ley estadounidense de valores y el Art. 21E de la Ley estadounidense del mercado de valores. Dichas afirmaciones son una mera predicción. Los acontecimientos o resultados reales pueden diferir sustancialmente de los de la declaración prospectiva aquí recogida. Se remite a los lectores a las declaraciones de Vertiv ante la Comisión del mercado de valores estadounidense (la SEC), incluido su último Informe Anual en el Modelo 10-K y cualquier informe trimestral posterior a través del Modelo 10-Q para abordar estos y otros factores de riesgo importantes relativos a Vertiv y sus operaciones. Vertiv no está obligada —y renuncia expresamente a cualquier obligación— a actualizar o modificar cualquiera de sus declaraciones de carácter prospectivo, independientemente de que dispongamos de nueva información, sucedan nuevos acontecimientos o por cualquier otro motivo.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Fernández Cruz </w:t>
      </w:r>
    </w:p>
    <w:p w:rsidR="00C31F72" w:rsidRDefault="00C31F72" w:rsidP="00AB63FE">
      <w:pPr>
        <w:pStyle w:val="Sinespaciado"/>
        <w:spacing w:line="276" w:lineRule="auto"/>
        <w:ind w:left="-284"/>
        <w:rPr>
          <w:rFonts w:ascii="Arial" w:hAnsi="Arial" w:cs="Arial"/>
        </w:rPr>
      </w:pPr>
      <w:r>
        <w:rPr>
          <w:rFonts w:ascii="Arial" w:hAnsi="Arial" w:cs="Arial"/>
        </w:rPr>
        <w:t> Manager de Tecnología en Burson</w:t>
      </w:r>
    </w:p>
    <w:p w:rsidR="00AB63FE" w:rsidRDefault="00C31F72" w:rsidP="00AB63FE">
      <w:pPr>
        <w:pStyle w:val="Sinespaciado"/>
        <w:spacing w:line="276" w:lineRule="auto"/>
        <w:ind w:left="-284"/>
        <w:rPr>
          <w:rFonts w:ascii="Arial" w:hAnsi="Arial" w:cs="Arial"/>
        </w:rPr>
      </w:pPr>
      <w:r>
        <w:rPr>
          <w:rFonts w:ascii="Arial" w:hAnsi="Arial" w:cs="Arial"/>
        </w:rPr>
        <w:t>+34 690 99 56 73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https://www.notasdeprensa.es/vertiv-en-colaboracion-con-nvidia-desarrolla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Hardware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