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Valcárcel reitera en Berlín que Europa no reconocería a una Cataluña independiente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de la Comunidad y del Comité de las Regiones (CdR), Ramón Luis Valcárcel, reiteró hoy en Berlín que el Comité de las Regiones no reconoce las pretensiones secesionistas de Cataluña.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la sesión plenaria del Bundesrat</w:t>
            </w:r>
          </w:p>
          <w:p>
            <w:pPr>
              <w:ind w:left="-284" w:right="-427"/>
              <w:jc w:val="both"/>
              <w:rPr>
                <w:rFonts/>
                <w:color w:val="262626" w:themeColor="text1" w:themeTint="D9"/>
              </w:rPr>
            </w:pPr>
            <w:r>
              <w:t>	El jefe del Ejecutivo murciano. y máxima autoridad representante de las regiones en Europa. explicó hoy, al término de la sesión plenaria en el Bundesrat alemán, que el CdR debatió este año una enmienda sobre el reconocimiento de actuaciones secesionistas por parte de Cataluña y Escocia, y recordó que el CdR “habló ese día y votó claramente que esa enmienda no iba a prosperar; y no prosperó por una contundente mayoría de votos de todas las regiones, contrarias a esa posición, y dejando claro que el que se marcha de un estado miembro europeo se pone a la cola como país tercero, cuando le toque”.</w:t>
            </w:r>
          </w:p>
          <w:p>
            <w:pPr>
              <w:ind w:left="-284" w:right="-427"/>
              <w:jc w:val="both"/>
              <w:rPr>
                <w:rFonts/>
                <w:color w:val="262626" w:themeColor="text1" w:themeTint="D9"/>
              </w:rPr>
            </w:pPr>
            <w:r>
              <w:t>	Valcárcel realizó estas declaraciones tras dirigirse a los representantes de los 19 Estados Federados alemanes en el pleno del Bundesrat celebrado hoy en Berlín, ante quienes confirmó el papel del CdR “como garante de la subsidiariedad en la Unión Europea”, y destacó la necesidad de un “esfuerzo concertado para reafirmar los valores esenciales del proyecto europeo, empezando por el papel crucial de las regiones para la recuperación económica y la cohesión social”.</w:t>
            </w:r>
          </w:p>
          <w:p>
            <w:pPr>
              <w:ind w:left="-284" w:right="-427"/>
              <w:jc w:val="both"/>
              <w:rPr>
                <w:rFonts/>
                <w:color w:val="262626" w:themeColor="text1" w:themeTint="D9"/>
              </w:rPr>
            </w:pPr>
            <w:r>
              <w:t>	Es la primera vez que un presidente del CdR ha sido invitado a esta cámara representativa alemana, con la particularidad de que se trata de la primera sesión tras la formación del nuevo Gobierno alemán.</w:t>
            </w:r>
          </w:p>
          <w:p>
            <w:pPr>
              <w:ind w:left="-284" w:right="-427"/>
              <w:jc w:val="both"/>
              <w:rPr>
                <w:rFonts/>
                <w:color w:val="262626" w:themeColor="text1" w:themeTint="D9"/>
              </w:rPr>
            </w:pPr>
            <w:r>
              <w:t>	En este encuentro, el presidente Valcárcel abordó una de las cuestiones que más preocupa en estos momentos a las regiones, en relación a la recepción de Fondos Estructurales europeos, condicionados a las recomendaciones macroeconómicas de la Comisión, es decir, al cumplimiento del objetivo de déficit de los estados miembros, y que se ha denominado la ‘macrocondicionalidad económica’.</w:t>
            </w:r>
          </w:p>
          <w:p>
            <w:pPr>
              <w:ind w:left="-284" w:right="-427"/>
              <w:jc w:val="both"/>
              <w:rPr>
                <w:rFonts/>
                <w:color w:val="262626" w:themeColor="text1" w:themeTint="D9"/>
              </w:rPr>
            </w:pPr>
            <w:r>
              <w:t>	No se puede “castigar” a las regiones</w:t>
            </w:r>
          </w:p>
          <w:p>
            <w:pPr>
              <w:ind w:left="-284" w:right="-427"/>
              <w:jc w:val="both"/>
              <w:rPr>
                <w:rFonts/>
                <w:color w:val="262626" w:themeColor="text1" w:themeTint="D9"/>
              </w:rPr>
            </w:pPr>
            <w:r>
              <w:t>	En este sentido, Valcárcel subrayó que “a los Länder, regiones y ciudades no se nos puede castigar por algo de lo que no somos directamente responsables, porque atenta claramente contra los principios de subsidiariedad y proporcionalidad”. Por ello, en estos momentos “estamos estudiando cuáles son las vías legales a nuestra disposición para conseguir que esta medida no se aplique a las regiones y ciudades de Europa”.</w:t>
            </w:r>
          </w:p>
          <w:p>
            <w:pPr>
              <w:ind w:left="-284" w:right="-427"/>
              <w:jc w:val="both"/>
              <w:rPr>
                <w:rFonts/>
                <w:color w:val="262626" w:themeColor="text1" w:themeTint="D9"/>
              </w:rPr>
            </w:pPr>
            <w:r>
              <w:t>	No obstante, aclaró que “las regiones somos conscientes de que tenemos que cumplir con los objetivos de déficit en la medida de nuestras posibilidades, y estamos dispuestos a ello, pero ahora, más que nunca es necesario flexibilidad y que no nos carguemos el Estado de Bienestar por el mero hecho de tener que llegar a un cumplimiento del objetivo de déficit sí o sí”.</w:t>
            </w:r>
          </w:p>
          <w:p>
            <w:pPr>
              <w:ind w:left="-284" w:right="-427"/>
              <w:jc w:val="both"/>
              <w:rPr>
                <w:rFonts/>
                <w:color w:val="262626" w:themeColor="text1" w:themeTint="D9"/>
              </w:rPr>
            </w:pPr>
            <w:r>
              <w:t>	Por ello, subrayó que “aunque entiendo que si no cumplimos, a la larga también se puede poner en riesgo el Estado de Bienestar, es cierto que lo que se puede hacer en cuatro años, que no se haga en dos porque se perjudicaría a los ciudadanos”. Por eso, “la macrocondicionalidad económica debe ser menos estricta, no se puede castigar así a las regiones”, apostilló.</w:t>
            </w:r>
          </w:p>
          <w:p>
            <w:pPr>
              <w:ind w:left="-284" w:right="-427"/>
              <w:jc w:val="both"/>
              <w:rPr>
                <w:rFonts/>
                <w:color w:val="262626" w:themeColor="text1" w:themeTint="D9"/>
              </w:rPr>
            </w:pPr>
            <w:r>
              <w:t>	Un Parlamento Europeo fuerte y no “colapsado”</w:t>
            </w:r>
          </w:p>
          <w:p>
            <w:pPr>
              <w:ind w:left="-284" w:right="-427"/>
              <w:jc w:val="both"/>
              <w:rPr>
                <w:rFonts/>
                <w:color w:val="262626" w:themeColor="text1" w:themeTint="D9"/>
              </w:rPr>
            </w:pPr>
            <w:r>
              <w:t>	El presidente de la Región de Murcia aprovechó su estancia en el Bundesrat para reflexionar sobre el riesgo del creciente euroescepticismo en Europa, y reclamó un mayor compromiso por parte de todas las instituciones parlamentarias para luchar contra el absentismo y los populismos en las próximas elecciones europeas.</w:t>
            </w:r>
          </w:p>
          <w:p>
            <w:pPr>
              <w:ind w:left="-284" w:right="-427"/>
              <w:jc w:val="both"/>
              <w:rPr>
                <w:rFonts/>
                <w:color w:val="262626" w:themeColor="text1" w:themeTint="D9"/>
              </w:rPr>
            </w:pPr>
            <w:r>
              <w:t>	“Es necesario que impliquemos a los ciudadanos en este proceso electoral porque Europa se juega mucho en ello, y de estos comicios tiene que surgir un Parlamento fuerte y cohesionado, ya que si no, se produciría un colapso que impediría su función real, la de gestionar la política europea con eficacia”, señaló.</w:t>
            </w:r>
          </w:p>
          <w:p>
            <w:pPr>
              <w:ind w:left="-284" w:right="-427"/>
              <w:jc w:val="both"/>
              <w:rPr>
                <w:rFonts/>
                <w:color w:val="262626" w:themeColor="text1" w:themeTint="D9"/>
              </w:rPr>
            </w:pPr>
            <w:r>
              <w:t>	Mensaje de valentía para los “amigos de Ucrania”</w:t>
            </w:r>
          </w:p>
          <w:p>
            <w:pPr>
              <w:ind w:left="-284" w:right="-427"/>
              <w:jc w:val="both"/>
              <w:rPr>
                <w:rFonts/>
                <w:color w:val="262626" w:themeColor="text1" w:themeTint="D9"/>
              </w:rPr>
            </w:pPr>
            <w:r>
              <w:t>	De igual manera, el presidente Valcárcel hizo un llamamiento a los representantes alemanes para lanzar un mensaje de “valentía en apoyo a los amigos de Ucrania que quieren formar parte de la Unión Europea”. Por ello, anunció que en estos próximos meses el Comité de las Regiones celebrará en Kiev una cumbre con los dirigentes regionales de Ucrania, con el fin de apoyarles en esta causa en estos momentos clave para su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Murcia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https://www.notasdeprensa.es/valcarcel-reitera-en-berlin-que-europa-no_1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