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pide que Figar explique cómo va a afectar la subida de los precios públicos a la FP y a la eficiencia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preguntarán qué medidas ha previsto la Comunidad de Madrid durante el verano para evitar en el curso que viene la malnutrición de los escolares madrileños.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agosto de 2013. 		El Grupo Parlamentario de UPyD en la Asamblea de Madrid ha pedido hoy la comparecencia en Pleno de la Consejera de Educación, Juventud y Deporte de la Comunidad de Madrid, Lucía Figar, para que informe sobre la incidencia que han tenido en la matriculación la supresión de los conciertos y el nivel de los precios públicos de la Formación Profesional de grado superior, y cuál va a ser la incidencia de la subida de los precios públicos en la eficiencia universitaria. 	El portavoz adjunto de UPyD en la Asamblea de Madrid y portavoz en la Comisión de Educación, Juventud y Deporte, Ramón Marcos, ha recordado “la grave situación económica que están atravesando muchas familias madrileñas, por lo que no se pueden continuar subiendo las tasas en los Grados universitarios y en la FP Superior, teniendo en cuenta que se ha reducido también el importe de las becas. La subida de tasas que se realizó el año pasado ya fue muy fuerte”.  	UPyD también ha pedido la comparecencia de la Consejera de Educación para que explique en Pleno qué medidas ha previsto durante el verano el Gobierno de la Comunidad de Madrid para evitar en el curso que viene la malnutrición de los escolares madrileños.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https://www.notasdeprensa.es/upyd-pide-que-figar-explique-como-va-a-afectar_1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