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Uno de cada seis ancianos está en riesgo de pobreza en España según AIS Group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País Vasco y Navarra son las comunidades donde la tasa de mayores de 65 años en riesgo de pobreza es más baja, rondando el 6,5%, mientras que en Extremadura llega al 28%. La erradicación de la pobreza es el primero de los Objetivos de Desarrollo Sostenible marcados en la Agenda 2030 de Naciones Unidas, sin embargo, en España el 21% de la población viven en riesgo de pobreza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tasa de población en riesgo de pobreza en España entre los mayores de 65 años se sitúa en el 15,6%, según los indicadores Habits Big Data construidos por la consultora AIS Group en base a la información del INE. Habits Big Data incluye cerca de 1.800 indicadores que recogen información sociodemográfica y económica de las familias españolas y de las características específicas de cada una de las diferentes zonas del territorio.</w:t>
            </w:r>
          </w:p>
          <w:p>
            <w:pPr>
              <w:ind w:left="-284" w:right="-427"/>
              <w:jc w:val="both"/>
              <w:rPr>
                <w:rFonts/>
                <w:color w:val="262626" w:themeColor="text1" w:themeTint="D9"/>
              </w:rPr>
            </w:pPr>
            <w:r>
              <w:t>“La erradicación de la pobreza es el primero de los Objetivos de Desarrollo Sostenible marcados en la Agenda 2030 de Naciones Unidas, sin embargo, en España la población en riesgo de pobreza supera el 21% si consideramos al total de los habitantes”, comenta Agustí Amorós, director de desarrollo de negocio de AIS. “Al analizar las diferentes franjas de edad -añade-, se observa que los niños son los que sufren una situación de mayor riesgo ya que el 26,2% de esta población vive en hogares en riesgo de pobreza. En el caso de los mayores de 65 años, uno de cada seis vive en riego de pobreza”.</w:t>
            </w:r>
          </w:p>
          <w:p>
            <w:pPr>
              <w:ind w:left="-284" w:right="-427"/>
              <w:jc w:val="both"/>
              <w:rPr>
                <w:rFonts/>
                <w:color w:val="262626" w:themeColor="text1" w:themeTint="D9"/>
              </w:rPr>
            </w:pPr>
            <w:r>
              <w:t>La situación de los mayores varía en función de la zona de residencia. Así, mientras en País Vasco y Navarra la tasa de los que se encuentran en riesgo de pobreza es del 6,3% y del 6,5% respectivamente, en Extremadura supera el 28%. Las zonas donde mayor es la tasa de riesgo de pobreza entre las personas de más de 65 años son, además de Extremadura, Andalucía, Canarias, Castilla-La Mancha y Murcia. Por el contrario, las cifras más bajas se dan en País Vasco, Navarra, Catalunya, Aragón y Asturias.</w:t>
            </w:r>
          </w:p>
          <w:p>
            <w:pPr>
              <w:ind w:left="-284" w:right="-427"/>
              <w:jc w:val="both"/>
              <w:rPr>
                <w:rFonts/>
                <w:color w:val="262626" w:themeColor="text1" w:themeTint="D9"/>
              </w:rPr>
            </w:pPr>
            <w:r>
              <w:t>Datos por provinciasPor provincias, Cáceres presenta la tasa más elevada de personas mayores residiendo en hogares en riesgo de pobreza, un 30%. Le siguen Córdoba (27%), Badajoz (27%), Guadalajara (25,5%) y Málaga (23,9%). A estas cinco le sigue un numeroso grupo de provincias meridionales. En la mitad norte de la península, Pontevedra ofrece la tasa mayor, un 15,2%, casi en la media nacional.</w:t>
            </w:r>
          </w:p>
          <w:p>
            <w:pPr>
              <w:ind w:left="-284" w:right="-427"/>
              <w:jc w:val="both"/>
              <w:rPr>
                <w:rFonts/>
                <w:color w:val="262626" w:themeColor="text1" w:themeTint="D9"/>
              </w:rPr>
            </w:pPr>
            <w:r>
              <w:t>Al otro extremo de la lista, además de las tres provincias vascas y Navarra, figuran Soria con una tasa del 7,1%, Teruel (8,8%), Barcelona (9,7%), Huesca (9,9%) y Segovia (9,9%). En el resto de provincias, la tasa supera ya el 10%.</w:t>
            </w:r>
          </w:p>
          <w:p>
            <w:pPr>
              <w:ind w:left="-284" w:right="-427"/>
              <w:jc w:val="both"/>
              <w:rPr>
                <w:rFonts/>
                <w:color w:val="262626" w:themeColor="text1" w:themeTint="D9"/>
              </w:rPr>
            </w:pPr>
            <w:r>
              <w:t>Datos para alcanzar los ODSSegún Agustí Amorós, “la información de la tasa de pobreza en los distintos grupos de edad permite conocer el nivel de cumplimiento de los ODS. No obstante, para tener una visión mucho más amplia y rigurosa, es necesario recurrir a una gran batería de indicadores que nos permita calcular el grado de avance hacia la Agenda 2030 de Naciones Unidas de nuestro territorio, ya sea a nivel nacional, autonómico o municipal”.</w:t>
            </w:r>
          </w:p>
          <w:p>
            <w:pPr>
              <w:ind w:left="-284" w:right="-427"/>
              <w:jc w:val="both"/>
              <w:rPr>
                <w:rFonts/>
                <w:color w:val="262626" w:themeColor="text1" w:themeTint="D9"/>
              </w:rPr>
            </w:pPr>
            <w:r>
              <w:t>En esta línea, AIS Group en colaboración con el Observatorio de la Sostenibilidad y la Fundación Ciudadanía publicaron el Informe 17x17, que hacía un primer acercamiento al estado actual del cumplimiento de los ODS en cada comunidad autónoma. “Nuestro objetivo es repetir la experiencia y facilitar a los gobiernos regionales un análisis que revele de una manera mucho más detallada y precisa el punto en que están en su desempeño para que sean capaces de poner en marcha políticas orientadas a la conquista de los ODS”, comenta Amorós.</w:t>
            </w:r>
          </w:p>
          <w:p>
            <w:pPr>
              <w:ind w:left="-284" w:right="-427"/>
              <w:jc w:val="both"/>
              <w:rPr>
                <w:rFonts/>
                <w:color w:val="262626" w:themeColor="text1" w:themeTint="D9"/>
              </w:rPr>
            </w:pPr>
            <w:r>
              <w:t>Según el portavoz de AIS Group, los objetivos son ambiciosos y hay que trabajar mucho para para alcanzarlos en 2030. “Para eso es importante saber dónde hay más carencias y dónde más fortalezas para determinar dónde hay que poner el foco”, concluye Amorós.</w:t>
            </w:r>
          </w:p>
          <w:p>
            <w:pPr>
              <w:ind w:left="-284" w:right="-427"/>
              <w:jc w:val="both"/>
              <w:rPr>
                <w:rFonts/>
                <w:color w:val="262626" w:themeColor="text1" w:themeTint="D9"/>
              </w:rPr>
            </w:pPr>
            <w:r>
              <w:t>Acerca de AISAIS Group es una empresa de consultoría estratégica, financiera y tecnológica con operaciones a nivel internacional. Su especialidad es generar valor a partir de los datos. Para ello desarrolla sistemas de soporte a la toma de decisiones basados en la modelización estadística para previsión, matemática para optimización, así como en el uso de técnicas Big Data y Machine Learning.</w:t>
            </w:r>
          </w:p>
          <w:p>
            <w:pPr>
              <w:ind w:left="-284" w:right="-427"/>
              <w:jc w:val="both"/>
              <w:rPr>
                <w:rFonts/>
                <w:color w:val="262626" w:themeColor="text1" w:themeTint="D9"/>
              </w:rPr>
            </w:pPr>
            <w:r>
              <w:t>Entre sus principales líneas de negocio está la construcción de modelos de orientados a marketing (propensión de compra, venta cruzada, recomendación de acciones comerciales), el cálculo de indicadores sociodemográficos y en general todo aquello que suponga transformar datos en conocimiento para alcanzar los objetivos de negocio de las entidades o mejorar el servicio de las administraciones a los ciudadanos, como en los aspectos relacionados con smart cities.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de la Plaza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https://www.notasdeprensa.es/uno-de-cada-seis-ancianos-esta-en-riesgo-de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Madrid Cataluña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