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aplicación permite mejorar la eficacia del tratamiento contra el VIH en los pacientes más difíciles de tratar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aplicación utiliza las plataformas de pirosecuenciación ultrasensible de Roche y un software de interpretación de resultados, DeepChek®-HIV de la compañía de Luxemburgo Advanced Biological Laboratories (ABL) y detecta con una gran precisión Virus de la Inmunodeficiencia Humana (VIH) que se han vuelto resistentes a los tratamientos. </w:t>
            </w:r>
          </w:p>
          <w:p>
            <w:pPr>
              <w:ind w:left="-284" w:right="-427"/>
              <w:jc w:val="both"/>
              <w:rPr>
                <w:rFonts/>
                <w:color w:val="262626" w:themeColor="text1" w:themeTint="D9"/>
              </w:rPr>
            </w:pPr>
            <w:r>
              <w:t>		La aplicación permite mejorar la respuesta al tratamiento de los pacientes en los que ya no funcionan la mayoría de las terapias.</w:t>
            </w:r>
          </w:p>
          <w:p>
            <w:pPr>
              <w:ind w:left="-284" w:right="-427"/>
              <w:jc w:val="both"/>
              <w:rPr>
                <w:rFonts/>
                <w:color w:val="262626" w:themeColor="text1" w:themeTint="D9"/>
              </w:rPr>
            </w:pPr>
            <w:r>
              <w:t>		Este proyecto ha sido dirigido por el Instituto de Investigación del Sida IrsiCaixa, impulsado conjuntamente por la Obra Social "la Caixa" y el Departament de Salut de la Generalitat de Catalunya, y ha contado con la colaboración de investigadores y médicos de la Fundació Lluita contra la Sida, el Instituto de Investigación Biomédica Hospital 12 de Octubre de Madrid, el Hospital San Cecilio de Granada, Hospital MútuaTerrassa, Fundació Lluita contra la Sida, Hospital Germans Trias i Pujol, en Badalona, la compañía de software de Luxemburgo Advanced Biological Laboratories (ABL, SA) y Roche Diagnostics España. El estudio obtuvo una beca del Centro de Desarrollo Tecnológico e Industrial (CDTI) del Ministerio de Economía y Competitividad.</w:t>
            </w:r>
          </w:p>
          <w:p>
            <w:pPr>
              <w:ind w:left="-284" w:right="-427"/>
              <w:jc w:val="both"/>
              <w:rPr>
                <w:rFonts/>
                <w:color w:val="262626" w:themeColor="text1" w:themeTint="D9"/>
              </w:rPr>
            </w:pPr>
            <w:r>
              <w:t>	Sant Cugat del Vallès, 4 de julio de 2014 - La revista científica Clinical Infectious Diseases publicó el pasado 29 de mayo un artículo con las conclusiones del estudio llevado a cabo por los investigadores del Instituto de Investigación del Sida IrsiCaixa, impulsado conjuntamente por la Obra Social "la Caixa" y el Departament de Salut de la Generalitat de Catalunya y en el que se ha utilizado la tecnología de pirosecuenciación ultrasensible de Roche Diagnostics y un software, DeepChek®-HIV, creado específicamente por la empresa luxemburguesa ABL, demostrando por primera vez la eficacia de una aplicación que permite mejorar la respuesta al tratamiento de los pacientes en los que ya no funcionan la mayoría de las terapias, los pacientes más difíciles de tratar. La nueva aplicación detecta con una gran precisión virus de la inmunodeficiencia humana que se han vuelto resistentes a los tratamientos. La nueva aplicación permitirá a los médicos predecir qué medicamentos son efectivos, con una mayor precisión que con los métodos actuales.</w:t>
            </w:r>
          </w:p>
          <w:p>
            <w:pPr>
              <w:ind w:left="-284" w:right="-427"/>
              <w:jc w:val="both"/>
              <w:rPr>
                <w:rFonts/>
                <w:color w:val="262626" w:themeColor="text1" w:themeTint="D9"/>
              </w:rPr>
            </w:pPr>
            <w:r>
              <w:t>	Roger Paredes, médico e investigador de IrsiCaixa y de la Fundació Lluita contra la Sida, en el Hospital Germans Trias, y autor senior de este trabajo, remarca que “las tecnologías de secuenciación de nueva generación presentan una mayor eficiencia, que unido a su potencial reducción del gasto, influirá en la salud global en el campo del VIH. En los próximos años, facilitará el acceso a los test de resistencia en áreas donde los recursos son limitados.”</w:t>
            </w:r>
          </w:p>
          <w:p>
            <w:pPr>
              <w:ind w:left="-284" w:right="-427"/>
              <w:jc w:val="both"/>
              <w:rPr>
                <w:rFonts/>
                <w:color w:val="262626" w:themeColor="text1" w:themeTint="D9"/>
              </w:rPr>
            </w:pPr>
            <w:r>
              <w:t>	Este proyecto ha contado con la colaboración de investigadores y médicos de la Fundació Lluita contra la Sida, el Instituto de Investigación Biomédica Hospital 12 de Octubre de Madrid, el Hospital San Cecilio de Granada, Hospital MútuaTerrassa, Fundació Lluita contra la Sida, Hospital Germans Trias i Pujol, en Badalona, la compañía de software de Luxemburgo Advanced Biological Laboratories (ABL, SA) y Roche Diagnostics España. El estudio obtuvo una beca del Centro de Desarrollo Tecnológico e Industrial (CDTI) del Ministerio de Economía y Competitividad.</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www.roche.es.</w:t>
            </w:r>
          </w:p>
          <w:p>
            <w:pPr>
              <w:ind w:left="-284" w:right="-427"/>
              <w:jc w:val="both"/>
              <w:rPr>
                <w:rFonts/>
                <w:color w:val="262626" w:themeColor="text1" w:themeTint="D9"/>
              </w:rPr>
            </w:pPr>
            <w:r>
              <w:t>	Acerca Advanced Biological Laboratories</w:t>
            </w:r>
          </w:p>
          <w:p>
            <w:pPr>
              <w:ind w:left="-284" w:right="-427"/>
              <w:jc w:val="both"/>
              <w:rPr>
                <w:rFonts/>
                <w:color w:val="262626" w:themeColor="text1" w:themeTint="D9"/>
              </w:rPr>
            </w:pPr>
            <w:r>
              <w:t>	Advanced Biological Laboratories (ABL), S.A., es una compañía de tecnologías de análisis de datos médicos fundada en el año 2000 como un spin-off de CRP-Santé Luxembourg. ABL tomó el control de TherapyEdge, Inc. en 2004 y en 2013 adquirió los derechos de todos los productos relacionados con los virus de la hepatitis B y C de EVIVAR MEDICAL. ABL tiene una completa gama de productos para gestión de la atención sanitaria incluyendo TherapyEdge®, ViroScore®, SeqHepB, DeepChek®, VisibleChek®, HepatiC™ and OncoChek™, usados para la gestión de datos y pacientes, el seguimiento de tratamientos y la personalización de informes. En 2012, algunos de los productos de ABL recibieron el marcado CE para el uso en IVD. Los productos de ABL ofrecen soluciones tecnológicas a los especialistas en enfermedades infecciosas y para laboratorios de virología, para secuenciación, genotipado y análisis de resistencia a productos farmacéuticos, incluyendo bases de datos integradas y sistemas de análisis combinando datos de sistemas estándares y datos procedentes de sistemas de alto rendimiento en secuenciación. Más información en www.ablsa.com</w:t>
            </w:r>
          </w:p>
          <w:p>
            <w:pPr>
              <w:ind w:left="-284" w:right="-427"/>
              <w:jc w:val="both"/>
              <w:rPr>
                <w:rFonts/>
                <w:color w:val="262626" w:themeColor="text1" w:themeTint="D9"/>
              </w:rPr>
            </w:pPr>
            <w:r>
              <w:t>	Todas las marcas están registradas</w:t>
            </w:r>
          </w:p>
          <w:p>
            <w:pPr>
              <w:ind w:left="-284" w:right="-427"/>
              <w:jc w:val="both"/>
              <w:rPr>
                <w:rFonts/>
                <w:color w:val="262626" w:themeColor="text1" w:themeTint="D9"/>
              </w:rPr>
            </w:pPr>
            <w:r>
              <w:t>	Contactos	Advanced Biological Laboratories (ABL)	Dr Chalom Sayada, +352 2638 8921	CEO ABL SA </w:t>
            </w:r>
          </w:p>
          <w:p>
            <w:pPr>
              <w:ind w:left="-284" w:right="-427"/>
              <w:jc w:val="both"/>
              <w:rPr>
                <w:rFonts/>
                <w:color w:val="262626" w:themeColor="text1" w:themeTint="D9"/>
              </w:rPr>
            </w:pPr>
            <w:r>
              <w:t>	Roche Diagnostics SL: barcelona.webmaster@roche.com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https://www.notasdeprensa.es/una-nueva-aplicacion-permite-mejorar-la_1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