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50% de las empresas han experimentado algún tipo de ciberataque o brecha de datos en el último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Trevenque Group recomienda a las PYMEs usar contraseñas seguras, activar la autenticación de dos factores, mantener el software actualizado, realizar copias de seguridad y formar a sus empleados en ciberseguridad para prevenir ataques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PYMEs españolas enfrentan una amenaza sin precedentes: los ciberataques están en aumento, afectando a la mitad de las empresas, según estudios recientes. Trevenque Group, compañía tecnológica especializada, subraya la necesidad urgente de que las pequeñas y medianas empresas adopten medidas preventivas para protegerse de esta creciente ola de amenazas cibernéticas.</w:t>
            </w:r>
          </w:p>
          <w:p>
            <w:pPr>
              <w:ind w:left="-284" w:right="-427"/>
              <w:jc w:val="both"/>
              <w:rPr>
                <w:rFonts/>
                <w:color w:val="262626" w:themeColor="text1" w:themeTint="D9"/>
              </w:rPr>
            </w:pPr>
            <w:r>
              <w:t>Un 50% de las empresas y un 32% de las ONGs han experimentado algún tipo de ciberataque o brecha de datos en el último año, según el Cyber Security Breaches Survey 2024 del National Cyber Security Centre (NCSC) del gobierno británico. Este informe evidencia cómo los ciberdelincuentes se están dirigiendo cada vez más hacia organizaciones que, a menudo, carecen de los recursos necesarios para defenderse. </w:t>
            </w:r>
          </w:p>
          <w:p>
            <w:pPr>
              <w:ind w:left="-284" w:right="-427"/>
              <w:jc w:val="both"/>
              <w:rPr>
                <w:rFonts/>
                <w:color w:val="262626" w:themeColor="text1" w:themeTint="D9"/>
              </w:rPr>
            </w:pPr>
            <w:r>
              <w:t>Además, un estudio reciente de SecurList (Kaspersky) revela que el número de infecciones en el sector de las PYMEs ha aumentado más del 5% en los últimos meses, mostrando que las amenazas son más frecuentes y sofisticadas.</w:t>
            </w:r>
          </w:p>
          <w:p>
            <w:pPr>
              <w:ind w:left="-284" w:right="-427"/>
              <w:jc w:val="both"/>
              <w:rPr>
                <w:rFonts/>
                <w:color w:val="262626" w:themeColor="text1" w:themeTint="D9"/>
              </w:rPr>
            </w:pPr>
            <w:r>
              <w:t>"Las PYMES son un objetivo atractivo para los ciberdelincuentes debido a su vulnerabilidad y a la gran cantidad de información valiosa que manejan", afirma Francisco José López Medina, Responsable de Seguridad de la Información y Delegado de Protección de Datos en Trevenque Group. "Es fundamental que las empresas tomen conciencia de este riesgo y adopten medidas de seguridad adecuadas para proteger sus activos".</w:t>
            </w:r>
          </w:p>
          <w:p>
            <w:pPr>
              <w:ind w:left="-284" w:right="-427"/>
              <w:jc w:val="both"/>
              <w:rPr>
                <w:rFonts/>
                <w:color w:val="262626" w:themeColor="text1" w:themeTint="D9"/>
              </w:rPr>
            </w:pPr>
            <w:r>
              <w:t>¿Qué pueden hacer las PYMES?Las PYMEs pueden fortalecer su protección adoptando medidas clave recomendadas por Trevenque Group, como el uso de contraseñas seguras y únicas para cada cuenta, la activación de la autenticación de dos factores para añadir una capa extra de seguridad, y la actualización regular del software mediante la aplicación de parches de seguridad. Además, es esencial realizar copias de seguridad periódicas para salvaguardar los datos de la empresa frente a posibles pérdidas y capacitar a los empleados en buenas prácticas de ciberseguridad, lo que ayudará a prevenir errores humanos que podrían facilitar un ciberataque.</w:t>
            </w:r>
          </w:p>
          <w:p>
            <w:pPr>
              <w:ind w:left="-284" w:right="-427"/>
              <w:jc w:val="both"/>
              <w:rPr>
                <w:rFonts/>
                <w:color w:val="262626" w:themeColor="text1" w:themeTint="D9"/>
              </w:rPr>
            </w:pPr>
            <w:r>
              <w:t>"La ciberseguridad no es un lujo, sino una necesidad para cualquier empresa, independientemente de su tamaño", destaca Francisco José López Medina, Responsable de Seguridad de la Información y Delegado de Protección de Datos en Grupo Trevenque. "Invertir en seguridad ahora puede evitar pérdidas significativas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Trevenque Group </w:t>
      </w:r>
    </w:p>
    <w:p w:rsidR="00C31F72" w:rsidRDefault="00C31F72" w:rsidP="00AB63FE">
      <w:pPr>
        <w:pStyle w:val="Sinespaciado"/>
        <w:spacing w:line="276" w:lineRule="auto"/>
        <w:ind w:left="-284"/>
        <w:rPr>
          <w:rFonts w:ascii="Arial" w:hAnsi="Arial" w:cs="Arial"/>
        </w:rPr>
      </w:pPr>
      <w:r>
        <w:rPr>
          <w:rFonts w:ascii="Arial" w:hAnsi="Arial" w:cs="Arial"/>
        </w:rPr>
        <w:t>Trevenque Group </w:t>
      </w:r>
    </w:p>
    <w:p w:rsidR="00AB63FE" w:rsidRDefault="00C31F72" w:rsidP="00AB63FE">
      <w:pPr>
        <w:pStyle w:val="Sinespaciado"/>
        <w:spacing w:line="276" w:lineRule="auto"/>
        <w:ind w:left="-284"/>
        <w:rPr>
          <w:rFonts w:ascii="Arial" w:hAnsi="Arial" w:cs="Arial"/>
        </w:rPr>
      </w:pPr>
      <w:r>
        <w:rPr>
          <w:rFonts w:ascii="Arial" w:hAnsi="Arial" w:cs="Arial"/>
        </w:rPr>
        <w:t>958 18 30 30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https://www.notasdeprensa.es/un-50-de-las-empresas-han-experimentado-algun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