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36% de los españoles piensa gastar este año una media de 1.294 euros en renovar y equipar su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Estos consumidores manifiestan su intención de reformar, en primer lugar, baño, cocinas, puertas, ventanas, etc., seguida de su preferencia por invertir en decoración, renovar sus electrodomésticos y cambiar los muebles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36% de los españoles tiene pensado invertir este año en su hogar, renovando sus equipamientos domésticos o acometiendo obras de reformas. De este porcentaje, un 29,2% manifiesta su intención de realizar obras de reformas en cocina, baño, puertas, ventanas, etc. Por otro lado, casi un 26% de los ciudadanos también planea gastar en elementos decorativos para la casa, así como un 23% confiesa querer renovar sus equipos electrodomésticos y un 17,4% cambiar los muebles. El gasto medio previsto por los españoles para acometer estas inversiones y reformas asciende a 1.294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la mayoría de los encuestados (54%) tiene intención de realizar un pequeño desembolso que asciende a 150€ aproximadamente, el 28% declara una intención de gasto de unos 750€. En este sentido, cuando las inversiones se refieren a obras de reforma, este importe de gasto medio asciende a 8.863€.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algunos de los datos que refleja el Observatorio Cetelem Mensual en el análisis específico que ha realizado para diagnosticar intenciones de los españoles cara a la renovación o reforma de su casa, a partir de una encuesta online elaborada por la empresa Investmarket, tomando como referencia a un conjunto de la población española mayor de 18 años, e incluyendo una muestra de 500 encuestas, siendo el margen de error del ± 4,47%.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https://www.notasdeprensa.es/un-36-de-los-espanoles-piensa-gastar-este-ano_1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