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16/04/2015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36% de los españoles piensa gastar este año una media de 1.294 euros en renovar y equipar su casa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Estos consumidores manifiestan su intención de reformar, en primer lugar, baño, cocinas, puertas, ventanas, etc., seguida de su preferencia por invertir en decoración, renovar sus electrodomésticos y cambiar los muebles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36% de los españoles tiene pensado invertir este año en su hogar, renovando sus equipamientos domésticos o acometiendo obras de reformas. De este porcentaje, un 29,2% manifiesta su intención de realizar obras de reformas en cocina, baño, puertas, ventanas, etc. Por otro lado, casi un 26% de los ciudadanos también planea gastar en elementos decorativos para la casa, así como un 23% confiesa querer renovar sus equipos electrodomésticos y un 17,4% cambiar los muebles. El gasto medio previsto por los españoles para acometer estas inversiones y reformas asciende a 1.294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Aunque la mayoría de los encuestados (54%) tiene intención de realizar un pequeño desembolso que asciende a 150€ aproximadamente, el 28% declara una intención de gasto de unos 750€. En este sentido, cuando las inversiones se refieren a obras de reforma, este importe de gasto medio asciende a 8.863€.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Estos son algunos de los datos que refleja el Observatorio Cetelem Mensual en el análisis específico que ha realizado para diagnosticar intenciones de los españoles cara a la renovación o reforma de su casa, a partir de una encuesta online elaborada por la empresa Investmarket, tomando como referencia a un conjunto de la población española mayor de 18 años, e incluyendo una muestra de 500 encuestas, siendo el margen de error del ± 4,47%.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https://www.notasdeprensa.es/un-36-de-los-espanoles-piensa-gastar-este-ano_1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