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TONI PONS prevé una inversión de 12 millones de euros en su nueva sede en Gerona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Toni Pons, la empresa líder de calzado artesanal elaborado en España, anuncia una inversión de 12 millones de euros en su nueva sede central en Girona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Toni Pons, la empresa líder de calzado artesanal elaborado en España, anuncia una inversión de 12 millones de euros en su nueva sede central en Girona. Este nuevo centro funcionará como almacén central y oficinas de la compañía, ocupando un total de 16.017 m², de los cuales 13.739 m² estarán dedicados al almacén y 2.278 m² a las oficinas.</w:t>
            </w:r>
          </w:p>
          <w:p>
            <w:pPr>
              <w:ind w:left="-284" w:right="-427"/>
              <w:jc w:val="both"/>
              <w:rPr>
                <w:rFonts/>
                <w:color w:val="262626" w:themeColor="text1" w:themeTint="D9"/>
              </w:rPr>
            </w:pPr>
            <w:r>
              <w:t>La nueva nave estará ubicada en la Calle Reramurs en el Polígono industrial Monfullà de Bescanó. Manteniendo así la sede a escasos minutos de Girona, la ciudad que ha visto crecer a esta compañía familiar que nació en Osor en 1946 y que hoy está liderada por Jordi Pons, tercera generación al frente de la empresa.</w:t>
            </w:r>
          </w:p>
          <w:p>
            <w:pPr>
              <w:ind w:left="-284" w:right="-427"/>
              <w:jc w:val="both"/>
              <w:rPr>
                <w:rFonts/>
                <w:color w:val="262626" w:themeColor="text1" w:themeTint="D9"/>
              </w:rPr>
            </w:pPr>
            <w:r>
              <w:t>El proyecto estará a cargo de EGEIN Engineering  and  Construction en lo que respecta a la parte de obra e ingeniería, y será el reconocido estudio de arquitectura gerundense Arquitecturia el que se encargue de las oficinas. La nueva sede se diseñará para maximizar la eficiencia energética, incorporando instalaciones de placas solares y cargadores para coches eléctricos, entre otras innovaciones.</w:t>
            </w:r>
          </w:p>
          <w:p>
            <w:pPr>
              <w:ind w:left="-284" w:right="-427"/>
              <w:jc w:val="both"/>
              <w:rPr>
                <w:rFonts/>
                <w:color w:val="262626" w:themeColor="text1" w:themeTint="D9"/>
              </w:rPr>
            </w:pPr>
            <w:r>
              <w:t>La marca de calzado, que cuenta con más de 4.000 puntos de venta y 44 tiendas en todo el mundo, ha vivido un gran crecimiento en los últimos años. En 2022 la facturación experimentó un incremento del 53 % interanual y en 2023 la facturación alcanzó los 32 millones de euros, vendiendo 1,6 millones de pares en 87 países en los cinco continentes, consolidándose, así como la primera marca de calzado artesanal en España. Asimismo, la plantilla ha crecido un 50% en los últimos dos años, superando los 150 trabajadores.</w:t>
            </w:r>
          </w:p>
          <w:p>
            <w:pPr>
              <w:ind w:left="-284" w:right="-427"/>
              <w:jc w:val="both"/>
              <w:rPr>
                <w:rFonts/>
                <w:color w:val="262626" w:themeColor="text1" w:themeTint="D9"/>
              </w:rPr>
            </w:pPr>
            <w:r>
              <w:t>Este crecimiento exponencial ha impulsado la necesidad de expandir su espacio operativo. Actualmente, la empresa cuenta con cuatro almacenes, y la nueva sede permitirá centralizar todo el stock y las oficinas, mejorando así la eficiencia operativa.</w:t>
            </w:r>
          </w:p>
          <w:p>
            <w:pPr>
              <w:ind w:left="-284" w:right="-427"/>
              <w:jc w:val="both"/>
              <w:rPr>
                <w:rFonts/>
                <w:color w:val="262626" w:themeColor="text1" w:themeTint="D9"/>
              </w:rPr>
            </w:pPr>
            <w:r>
              <w:t>Toni Pons prevé empezar las obras en los próximos meses y que la nave esté activa a finales de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Torras</w:t>
      </w:r>
    </w:p>
    <w:p w:rsidR="00C31F72" w:rsidRDefault="00C31F72" w:rsidP="00AB63FE">
      <w:pPr>
        <w:pStyle w:val="Sinespaciado"/>
        <w:spacing w:line="276" w:lineRule="auto"/>
        <w:ind w:left="-284"/>
        <w:rPr>
          <w:rFonts w:ascii="Arial" w:hAnsi="Arial" w:cs="Arial"/>
        </w:rPr>
      </w:pPr>
      <w:r>
        <w:rPr>
          <w:rFonts w:ascii="Arial" w:hAnsi="Arial" w:cs="Arial"/>
        </w:rPr>
        <w:t>Agencia de Comunicación de Toni Pons</w:t>
      </w:r>
    </w:p>
    <w:p w:rsidR="00AB63FE" w:rsidRDefault="00C31F72" w:rsidP="00AB63FE">
      <w:pPr>
        <w:pStyle w:val="Sinespaciado"/>
        <w:spacing w:line="276" w:lineRule="auto"/>
        <w:ind w:left="-284"/>
        <w:rPr>
          <w:rFonts w:ascii="Arial" w:hAnsi="Arial" w:cs="Arial"/>
        </w:rPr>
      </w:pPr>
      <w:r>
        <w:rPr>
          <w:rFonts w:ascii="Arial" w:hAnsi="Arial" w:cs="Arial"/>
        </w:rPr>
        <w:t>647313297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https://www.notasdeprensa.es/toni-pons-preve-una-inversion-de-12-millones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Cataluña Emprendedores Logística Consumo Industria Téxtil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