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Tomàs Castaño inaugura el nuevo Espacio de Arte AEDAL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Emprendedores de las Artes y las Letras (AEDAL) de Valencia abre un nuevo espacio dedicado al arte en la calle Trinitarios, 20 del casco histórico de Valencia.
Se inaugura con la exposición de Tomàs Castaño .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10 de marzo a las 19:30 h. el pintor cántabro Tomás Castaño, ganador del 1º Concurso en la modalidad de pintura de la Asociación Emprendedores de las Artes y las Letras (AEDAL) celebrado en la galería Artis de Valencia el mes de febrero, inaugurará el nuevo Espacio de Arte de la asociación en la calle Trinitarios núm. 20 situada en el casco histórico de Valencia, con una exposición de sus obras de corte realista en la que representa paisajes urbanos de la Habana Vieja y de otros rincones de España. 	La nueva sala estará dirigida por el reconocido pintor valenciano Vicente Heca.</w:t>
            </w:r>
          </w:p>
          <w:p>
            <w:pPr>
              <w:ind w:left="-284" w:right="-427"/>
              <w:jc w:val="both"/>
              <w:rPr>
                <w:rFonts/>
                <w:color w:val="262626" w:themeColor="text1" w:themeTint="D9"/>
              </w:rPr>
            </w:pPr>
            <w:r>
              <w:t>	La exposición permanecerá abierta al público desde el día 10 al 20 de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Tomàs Castaño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630643972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https://www.notasdeprensa.es/tomas-castano-inaugura-el-nuevo-espacio-de-arte-aedal-de-valencia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