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Galería Montsequi el 16/02/2010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Tomàs Castaño en Galería Montsequi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càntabro Tomàs Castaño regresa de nuevo a Madrid con su serie de ?Tabernas, tascas? del viejo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artista cántabro Tomás Castaño regresa de nuevo a Madrid con su serie de “Tabernas, tascas… del viejo Madrid” que tantos éxitos le ha deparado en anteriores comperecencias en galerías madrileñas. En esta ocasión lo hará en la Galería Montsequi de la Cl Alonso Cano 42, exposición que se podrá visitar desde el 8 al 20 de marzo.</w:t>
            </w:r>
          </w:p>
          <w:p>
            <w:pPr>
              <w:ind w:left="-284" w:right="-427"/>
              <w:jc w:val="both"/>
              <w:rPr>
                <w:rFonts/>
                <w:color w:val="262626" w:themeColor="text1" w:themeTint="D9"/>
              </w:rPr>
            </w:pPr>
            <w:r>
              <w:t>	De su obra se dice que su trayectoria se viene trazando dentro de una figuración realista que pudiera encontrar sus raíces en la escuela Nuevo Realismo Madrileño iniciada en los sesenta por el maestro Antonio López. Los lienzos en formato medio de Tomás Castaño se centran en el tema de fachadas, un motivo en el que artistas de aquella escuela como Amalia Ávia, han sido y son verdaderas celebridades.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Tomàs Castaño</w:t>
      </w:r>
    </w:p>
    <w:p w:rsidR="00C31F72" w:rsidRDefault="00C31F72" w:rsidP="00AB63FE">
      <w:pPr>
        <w:pStyle w:val="Sinespaciado"/>
        <w:spacing w:line="276" w:lineRule="auto"/>
        <w:ind w:left="-284"/>
        <w:rPr>
          <w:rFonts w:ascii="Arial" w:hAnsi="Arial" w:cs="Arial"/>
        </w:rPr>
      </w:pPr>
      <w:r>
        <w:rPr>
          <w:rFonts w:ascii="Arial" w:hAnsi="Arial" w:cs="Arial"/>
        </w:rPr>
        <w:t>exposicion</w:t>
      </w:r>
    </w:p>
    <w:p w:rsidR="00AB63FE" w:rsidRDefault="00C31F72" w:rsidP="00AB63FE">
      <w:pPr>
        <w:pStyle w:val="Sinespaciado"/>
        <w:spacing w:line="276" w:lineRule="auto"/>
        <w:ind w:left="-284"/>
        <w:rPr>
          <w:rFonts w:ascii="Arial" w:hAnsi="Arial" w:cs="Arial"/>
        </w:rPr>
      </w:pPr>
      <w:r>
        <w:rPr>
          <w:rFonts w:ascii="Arial" w:hAnsi="Arial" w:cs="Arial"/>
        </w:rPr>
        <w:t>630643972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https://www.notasdeprensa.es/tomas-castano-en-galeria-montsequi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