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947 el 30/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100.com ofrece grabado láser de carcasas para i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rcasas personalizadas de forma original son una estupenda idea como regalo de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está buscando detalles de boda baratos o regalos de empresa baratos, esta opción puede ser para usted. Sea el evento que sea que estemos organizando, si pensamos hacer un regalo a nuestros invitados, podemos incurrir en un gran gasto. Por esto, contar con una opción que sea original pero que además no resulte muy costosa, es ideal en estos tiempos que corren.	Todo100.com ofrece a sus clientes la posibilidad de regalar carcasas con grabados a 1 color de la imagen que deseen. Las carcasas disponibles son de aluminio lacado y abarcan desde el modelo 1 al 4 de iPhone.	El pedido mínimo para este servicio de grabado láser es de 10 unidades y el tiempo que toma el proceso de producción es de 10 días. Sin embargo, Todo100.com ofrece para servicios urgentes de 48 horas un recargo de 30% y si el cliente requiere un servicio urgente de 24 horas, un recargo del 50%.	Para solicitar presupuesto personalizado, tan solo debe contactar a Todo100.com y pedir más información acerca de este servicio de grabado láser de carcasas de iPhone para rega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100.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422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100com-ofrece-grabado-laser-de-carcasas-para-iph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