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aterriza en Cádiz con la apertura simultánea de dos outlets urbanos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apertura está prevista para junio y julio y estarán ubicados en San Fernando y Puerto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llega a Cádiz, región estratégica para la compañía, haciendo doblete. La compañía abrirá en los próximos 2 meses sus dos primeros establecimientos en la región. Las aperturas, que tendrán lugar en San Fernando y Puerto Real, están impulsadas por un inversor local que se convierte así en el primer multifranquiciado de la cadena.</w:t>
            </w:r>
          </w:p>
          <w:p>
            <w:pPr>
              <w:ind w:left="-284" w:right="-427"/>
              <w:jc w:val="both"/>
              <w:rPr>
                <w:rFonts/>
                <w:color w:val="262626" w:themeColor="text1" w:themeTint="D9"/>
              </w:rPr>
            </w:pPr>
            <w:r>
              <w:t>Con estas nuevas inauguraciones, la compañía supera la cifra mágica de 50 tiendas abiertas en nuestro país y se consolida como la primera cadena española especializada en la venta de restos de stock y descatalogados.</w:t>
            </w:r>
          </w:p>
          <w:p>
            <w:pPr>
              <w:ind w:left="-284" w:right="-427"/>
              <w:jc w:val="both"/>
              <w:rPr>
                <w:rFonts/>
                <w:color w:val="262626" w:themeColor="text1" w:themeTint="D9"/>
              </w:rPr>
            </w:pPr>
            <w:r>
              <w:t>En las tiendas Sqrups!, el cliente puede encontrar más de 1.000 productos distintos procedentes de stocks, descatalogados, restos de serie, liquidaciones, excedentes de fabricación o de siniestros de sectores tan dispares como la alimentación, droguería, papelería, moda, calzado, jardín, menaje o electrodomésticos, con un precio medio de 0,80 euros y garantía de 30 días en todos sus productos.</w:t>
            </w:r>
          </w:p>
          <w:p>
            <w:pPr>
              <w:ind w:left="-284" w:right="-427"/>
              <w:jc w:val="both"/>
              <w:rPr>
                <w:rFonts/>
                <w:color w:val="262626" w:themeColor="text1" w:themeTint="D9"/>
              </w:rPr>
            </w:pPr>
            <w:r>
              <w:t>“En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
            </w:r>
          </w:p>
          <w:p>
            <w:pPr>
              <w:ind w:left="-284" w:right="-427"/>
              <w:jc w:val="both"/>
              <w:rPr>
                <w:rFonts/>
                <w:color w:val="262626" w:themeColor="text1" w:themeTint="D9"/>
              </w:rPr>
            </w:pPr>
            <w:r>
              <w:t>El siguiente objetivo de esta empresa es concluir el ejercicio con una facturación cercana a los 12 millones de euros, casi un 20% por encima de los 10 millones alcanzados durante 2018.</w:t>
            </w:r>
          </w:p>
          <w:p>
            <w:pPr>
              <w:ind w:left="-284" w:right="-427"/>
              <w:jc w:val="both"/>
              <w:rPr>
                <w:rFonts/>
                <w:color w:val="262626" w:themeColor="text1" w:themeTint="D9"/>
              </w:rPr>
            </w:pPr>
            <w:r>
              <w:t>Para ello, la compañía ha optado por el sistema de franquicia para su expansión (actualmente cuenta con 56 tiendas repartidas por todo el país de las que 8 son propias y el resto franquiciadas), y cuenta con una red de colaboradores por toda Europa que le facilitan el acceso a los mejores fabricantes y proveedores del continente.</w:t>
            </w:r>
          </w:p>
          <w:p>
            <w:pPr>
              <w:ind w:left="-284" w:right="-427"/>
              <w:jc w:val="both"/>
              <w:rPr>
                <w:rFonts/>
                <w:color w:val="262626" w:themeColor="text1" w:themeTint="D9"/>
              </w:rPr>
            </w:pPr>
            <w:r>
              <w:t>La ventaja añadida de convertirse en multifranquiciado de la cadena son las importantes rebajas en el canon de entrada de la compañía así como la posibilidad de comprar a mayor escala, lo que incrementa la rentabilidad del negocio.</w:t>
            </w:r>
          </w:p>
          <w:p>
            <w:pPr>
              <w:ind w:left="-284" w:right="-427"/>
              <w:jc w:val="both"/>
              <w:rPr>
                <w:rFonts/>
                <w:color w:val="262626" w:themeColor="text1" w:themeTint="D9"/>
              </w:rPr>
            </w:pPr>
            <w:r>
              <w:t>Primeras marcas, fabricación europea y una renovación de stock completa cada seis semanasEstos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https://www.notasdeprensa.es/sqrups-aterriza-en-cadiz-con-la-apertura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